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84331" w14:textId="77777777" w:rsidR="00124ADB" w:rsidRDefault="00AA65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 ESTUDO SOBRE A PRESTAÇÃO DE CONTAS DA GESTORIA DE EXECUÇÃO FINANCEIRA DE FORMA DIGITAL: BENEFÍCIOS E PRINCIPAIS </w:t>
      </w:r>
      <w:r w:rsidR="000D29BB">
        <w:rPr>
          <w:rFonts w:ascii="Times New Roman" w:eastAsia="Times New Roman" w:hAnsi="Times New Roman" w:cs="Times New Roman"/>
          <w:b/>
          <w:sz w:val="24"/>
          <w:szCs w:val="24"/>
        </w:rPr>
        <w:t>GARGALOS PARA SUA IMPLEMENTAÇÃO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684332" w14:textId="77777777" w:rsidR="00124ADB" w:rsidRDefault="00124ADB">
      <w:pPr>
        <w:pStyle w:val="Default"/>
      </w:pPr>
    </w:p>
    <w:p w14:paraId="34684333" w14:textId="77777777" w:rsidR="00124ADB" w:rsidRDefault="00AA65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Autoria: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826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3BF3">
        <w:rPr>
          <w:rFonts w:ascii="Times New Roman" w:eastAsia="Times New Roman" w:hAnsi="Times New Roman" w:cs="Times New Roman"/>
          <w:sz w:val="24"/>
          <w:szCs w:val="24"/>
        </w:rPr>
        <w:t>ApA-</w:t>
      </w:r>
      <w:r w:rsidR="00D826F6">
        <w:rPr>
          <w:rFonts w:ascii="Times New Roman" w:eastAsia="Times New Roman" w:hAnsi="Times New Roman" w:cs="Times New Roman"/>
          <w:sz w:val="24"/>
          <w:szCs w:val="24"/>
        </w:rPr>
        <w:t>IM-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83BF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005</w:t>
      </w:r>
    </w:p>
    <w:p w14:paraId="34684334" w14:textId="77777777" w:rsidR="00124ADB" w:rsidRDefault="00124AD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684335" w14:textId="77777777" w:rsidR="00124ADB" w:rsidRDefault="00AA6534" w:rsidP="00485A7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34684336" w14:textId="77777777" w:rsidR="00124ADB" w:rsidRDefault="00AA65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artigo tem como propósito identificar os benefícios que uma prestação de contas de execução financeira, totalmente em meio digital, trará para a Marinha do Brasil. Além disso, este estudo apontou quais os gargalos enfrentados hoje na implementação das prestações de contas digitais. Nesse viés, realizou-se um estudo de caso no Centro Logístico de Material da Marinha. Os dados foram levantados por meio de entrevistas semiestruturadas e questionários realizados com militares envolvidos na elaboração da prestação de contas da gest</w:t>
      </w:r>
      <w:r w:rsidR="00106AF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ria de execução financeira. A interpretação realizada nos dados obtidos foi de cunho qualitativo. A análise, dividida em categorias, foi baseada na Estratégia Nacional de Transformação Digital. Pa</w:t>
      </w:r>
      <w:r w:rsidR="008E3AA3">
        <w:rPr>
          <w:rFonts w:ascii="Times New Roman" w:eastAsia="Times New Roman" w:hAnsi="Times New Roman" w:cs="Times New Roman"/>
          <w:sz w:val="24"/>
          <w:szCs w:val="24"/>
        </w:rPr>
        <w:t>ra definição dos benefícios, foram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estabelecido</w:t>
      </w:r>
      <w:r w:rsidR="008E3AA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critério os pontos que melhoram a vida do usuário que participa da comprovação, baseado em uma filosofia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 Thinking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qual considera benefício para uma instituição quando se gera melhorias no processo para o usuário do processo. </w:t>
      </w:r>
    </w:p>
    <w:p w14:paraId="34684337" w14:textId="0F41FB61" w:rsidR="00B85670" w:rsidRPr="000D29BB" w:rsidRDefault="00AA6534" w:rsidP="00B8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0D29BB" w:rsidRPr="000D29BB">
        <w:rPr>
          <w:rFonts w:ascii="Times New Roman" w:eastAsia="Times New Roman" w:hAnsi="Times New Roman" w:cs="Times New Roman"/>
          <w:sz w:val="24"/>
          <w:szCs w:val="24"/>
        </w:rPr>
        <w:t xml:space="preserve">Digitalização de Processos. Governo Digital. </w:t>
      </w:r>
      <w:r w:rsidRPr="000D29BB">
        <w:rPr>
          <w:rFonts w:ascii="Times New Roman" w:eastAsia="Times New Roman" w:hAnsi="Times New Roman" w:cs="Times New Roman"/>
          <w:bCs/>
          <w:sz w:val="24"/>
          <w:szCs w:val="24"/>
        </w:rPr>
        <w:t xml:space="preserve">Transformação Digital. </w:t>
      </w:r>
    </w:p>
    <w:p w14:paraId="34684338" w14:textId="77777777" w:rsidR="00B85670" w:rsidRPr="000D29BB" w:rsidRDefault="00B85670" w:rsidP="00B85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39" w14:textId="77777777" w:rsidR="00124ADB" w:rsidRDefault="00AA6534" w:rsidP="00B856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3468433A" w14:textId="77777777" w:rsidR="00124ADB" w:rsidRDefault="00124ADB" w:rsidP="00B856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3B" w14:textId="77777777" w:rsidR="00124ADB" w:rsidRDefault="00AA6534" w:rsidP="00B856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explosão de novos modelos de negócios impulsionada pelas Tecnologias da Informação e Comunicação (TIC), a dispersão geográfica da produção e as mídias sociais estão desafiando a maneira como os governos operam e, acima de tudo, como são percebidos (UNIÃO EUROPEIA, 2013).</w:t>
      </w:r>
    </w:p>
    <w:p w14:paraId="3468433C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das novas tecnologias, 67% das organizações governamentais estão buscando a transformação digital, com o intuito de entregar produtos ou serviços digitais completamente novos ou a criação de novos modelos na entrega de valor (LACHECA, 2018).</w:t>
      </w:r>
    </w:p>
    <w:p w14:paraId="3468433D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todas as organizações, a transformação digital convida suas lideranças a repensar sua visão, seu posicionamento, suas operações e todas as relações dos diversos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stakeholders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suas cadeias de geração de valor (HENRIETTE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EF705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 Brognoli e Ferenhof (2018), as transformações causadas pela disseminação das TIC geraram na administração pública pressão da sociedade para a incorporação dos recursos digitais em suas atividades, com o intuito de melhorar seu desempenho, obrigando o governo a repensar suas estratégias para atender as demandas do século XXI.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3E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consequência, ocorre então a transformação digital no setor público, criando novas formas de trabalho com as partes interessadas, construindo novos quadros de prestação de serviços e criando novas formas de relacionamento (MERGEL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>2019). Berman (2012)</w:t>
      </w:r>
      <w:r w:rsidR="00B73A8E">
        <w:rPr>
          <w:rFonts w:ascii="Times New Roman" w:eastAsia="Times New Roman" w:hAnsi="Times New Roman" w:cs="Times New Roman"/>
          <w:sz w:val="24"/>
          <w:szCs w:val="24"/>
        </w:rPr>
        <w:t xml:space="preserve"> sugere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para melhorar a prestação de serviços ao cliente é preciso oferecer inovação no modelo de negócios, sendo este o principal entre os recursos para a era digital.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3F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Acompanhando esta evolução, a Marinha do Brasil (MB) vem passando pela digitalização de inúmeros processos administrativos, podendo ser interpretado como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kick-off </w:t>
      </w:r>
      <w:r>
        <w:rPr>
          <w:rFonts w:ascii="Times New Roman" w:eastAsia="Times New Roman" w:hAnsi="Times New Roman" w:cs="Times New Roman"/>
          <w:sz w:val="24"/>
          <w:szCs w:val="24"/>
        </w:rPr>
        <w:t>para a transformação digital (ALMEIDA, 2019). Essa transformação vem sendo norteada pelo Plano de Transformação Digital voltado para os serviços administrativos da MB (PTDS-MB)</w:t>
      </w:r>
      <w:r w:rsidR="00CB0D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684340" w14:textId="2028441D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prumo, dada a relevância do tema para a Força, a Secretaria-Geral da Marinha (SGM), órgão que exerce a função n</w:t>
      </w:r>
      <w:r w:rsidR="00D56594">
        <w:rPr>
          <w:rFonts w:ascii="Times New Roman" w:eastAsia="Times New Roman" w:hAnsi="Times New Roman" w:cs="Times New Roman"/>
          <w:sz w:val="24"/>
          <w:szCs w:val="24"/>
        </w:rPr>
        <w:t>ormatizadora sobre as gestorias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 MB possui,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apresenta em seu Plano de Direção Setorial</w:t>
      </w:r>
      <w:r w:rsidR="00DC2C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a Ação de Direção Setorial número quatro definida como: </w:t>
      </w:r>
    </w:p>
    <w:p w14:paraId="34684341" w14:textId="43C9C747" w:rsidR="00124ADB" w:rsidRDefault="00AA6534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ADS 4</w:t>
      </w:r>
      <w:r w:rsidR="00DC2C32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Aprimorar a gestão documental em todas as fases: produção, utilização e destinação. Descrição: Promover uma gestão eficaz da informação, em um ambiente tecnológico adequado e controlado. Além disso, atender ao atual arcabouço legal, no que tange à produção documental na Administração Pública, e garantir a guarda, a preservação e o acesso por longo prazo de documentos digitais íntegros, autênticos e confiáveis. Prazo: DEZ 2024</w:t>
      </w:r>
      <w:r w:rsidR="00106AF2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Responsável</w:t>
      </w:r>
      <w:r w:rsidR="00106AF2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="00106AF2">
        <w:rPr>
          <w:rFonts w:ascii="Times New Roman" w:eastAsia="Times New Roman" w:hAnsi="Times New Roman" w:cs="Times New Roman"/>
          <w:sz w:val="20"/>
          <w:szCs w:val="20"/>
        </w:rPr>
        <w:t xml:space="preserve">iretoria de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 w:rsidR="00106AF2">
        <w:rPr>
          <w:rFonts w:ascii="Times New Roman" w:eastAsia="Times New Roman" w:hAnsi="Times New Roman" w:cs="Times New Roman"/>
          <w:sz w:val="20"/>
          <w:szCs w:val="20"/>
        </w:rPr>
        <w:t xml:space="preserve">ministração da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106AF2">
        <w:rPr>
          <w:rFonts w:ascii="Times New Roman" w:eastAsia="Times New Roman" w:hAnsi="Times New Roman" w:cs="Times New Roman"/>
          <w:sz w:val="20"/>
          <w:szCs w:val="20"/>
        </w:rPr>
        <w:t>arinha</w:t>
      </w:r>
      <w:r>
        <w:rPr>
          <w:rFonts w:ascii="Times New Roman" w:eastAsia="Times New Roman" w:hAnsi="Times New Roman" w:cs="Times New Roman"/>
          <w:sz w:val="20"/>
          <w:szCs w:val="20"/>
        </w:rPr>
        <w:t>. (BRASIL, 2021</w:t>
      </w:r>
      <w:r w:rsidR="00106AF2">
        <w:rPr>
          <w:rFonts w:ascii="Times New Roman" w:eastAsia="Times New Roman" w:hAnsi="Times New Roman" w:cs="Times New Roman"/>
          <w:sz w:val="20"/>
          <w:szCs w:val="20"/>
        </w:rPr>
        <w:t>, p</w:t>
      </w:r>
      <w:r w:rsidR="00106AF2" w:rsidRPr="00D458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458A2" w:rsidRPr="00D458A2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D458A2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684342" w14:textId="77777777" w:rsidR="00124ADB" w:rsidRDefault="00124AD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43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Neste contexto, o presente estudo define como problema de pesquisa a seguinte questão: Como a realização da prestação de contas da Gestoria de Execução Financeira de forma digital beneficia a Marinha do Brasil (MB) e quais os principais gargalos para sua implantação?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44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buscar a resposta da indagação supracitada, o objetivo principal deste estudo é identificar os benefícios que a realização de uma prestação de contas da Gestoria de Execução Financeira em meio digital trouxe para o Centro Logístico de Material da Marinha (CLogMat) e quais os principais gargalos enfrentados pela Organização Militar (OM).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A fim de subsidiar o alcance do objetivo geral, este estudo pretende alcançar os seguintes objetivos intermediários: (i) Identificar como funciona a sistemática de prestação digital existente no CLogMat; (ii) Identificar a perspectiva do usuário que realiza Prestação de Contas de Execução Financeira de forma física; (iii) Identificar quais os benefícios gerados pela digitalização do processo no CLogMat; e (iv) Identificar quais os principais gargalos existentes na prestação de contas da Gestoria de Execução Financeira do CLogMat.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Diante do exposto, este artigo está organizado em cinco seções. Iniciando pela introdução, já apresentada, segue-se para o segundo tópico, onde se encontra o fundamento teórico que estabeleceu os pilares desta pesquisa. A terceira seção detalha a metodologia aplicada no decorrer do estudo. Na quarta parte, apresenta-se a análise dos resultados obtidos. Na quinta e última seção, faz-se as considerações finais e a conclusão da pesquisa.</w:t>
      </w:r>
      <w:bookmarkStart w:id="0" w:name="_t52ixjc4yisy"/>
      <w:bookmarkEnd w:id="0"/>
    </w:p>
    <w:p w14:paraId="34684345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684346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REFERENCIAL TEÓRICO</w:t>
      </w:r>
    </w:p>
    <w:p w14:paraId="34684347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2.1 TRANSFORMAÇÃO DIGITAL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48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49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realizar uma transformação digital? Segundo Albertini (2021), um bom começo é entender o que ela significa. A transformação digital pode ser considerada como a aplicação de inovação digital para realizar algo novo, diferente e melhor, gerando valor para a sociedade e para as empresas</w:t>
      </w:r>
      <w:r w:rsidR="003B2CAF">
        <w:rPr>
          <w:rFonts w:ascii="Times New Roman" w:eastAsia="Times New Roman" w:hAnsi="Times New Roman" w:cs="Times New Roman"/>
          <w:sz w:val="24"/>
          <w:szCs w:val="24"/>
        </w:rPr>
        <w:t xml:space="preserve"> (ALBERTINI, 2021)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68434A" w14:textId="77777777" w:rsidR="00124ADB" w:rsidRDefault="00EC58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Ro</w:t>
      </w:r>
      <w:r w:rsidR="00AA6534">
        <w:rPr>
          <w:rFonts w:ascii="Times New Roman" w:eastAsia="Times New Roman" w:hAnsi="Times New Roman" w:cs="Times New Roman"/>
          <w:sz w:val="24"/>
          <w:szCs w:val="24"/>
        </w:rPr>
        <w:t xml:space="preserve">gers (2016), professor de estratégias digitais na </w:t>
      </w:r>
      <w:r w:rsidR="00AA6534">
        <w:rPr>
          <w:rFonts w:ascii="Times New Roman" w:eastAsia="Times New Roman" w:hAnsi="Times New Roman" w:cs="Times New Roman"/>
          <w:i/>
          <w:sz w:val="24"/>
          <w:szCs w:val="24"/>
        </w:rPr>
        <w:t>Columbia Business School</w:t>
      </w:r>
      <w:r w:rsidR="00AA6534">
        <w:rPr>
          <w:rFonts w:ascii="Times New Roman" w:eastAsia="Times New Roman" w:hAnsi="Times New Roman" w:cs="Times New Roman"/>
          <w:sz w:val="24"/>
          <w:szCs w:val="24"/>
        </w:rPr>
        <w:t>, ressalta que as tecnologias digitais mudaram a forma como nos conectamos e geramos valor. O autor delineia o processo de transformação digital com base em cinco domínios estratégicos: clientes, competição, dados, inovação e valor.</w:t>
      </w:r>
      <w:r w:rsidR="00194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68434B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Realizando um paralelo com Albertini (2021), dentro de inovação, percebe-se a transformação digital em aspectos como: processo, produto, serviço, modelo de negócio e relacionamento interno, externo e social. Neste estudo, serão abordados aspectos relacionados ao processo. </w:t>
      </w:r>
    </w:p>
    <w:p w14:paraId="3468434C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transformação de processos baseia-se no emprego das novas tecnologias com a finalidade de modificar ou criar novos modelos de negócios, redefinindo a forma de trabalhar em uma organização (TADEU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="00194D73" w:rsidRPr="00194D7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2018). Há hoje uma transição dos processos e procedimentos administrativos físicos para os eletrônicos, reduzindo o uso de recursos, como papel, pessoas e tempo a quem os utiliza, inclusive para a Administração Pública (NEVES; HEY, 2018). </w:t>
      </w:r>
    </w:p>
    <w:p w14:paraId="3468434D" w14:textId="77777777" w:rsidR="00B85670" w:rsidRDefault="00B856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4E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GOVERNO DIGITAL</w:t>
      </w:r>
    </w:p>
    <w:p w14:paraId="3468434F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50" w14:textId="2EEED838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Antes mesmo do advento da ideia de governo digital, faz-se necessário o entendimento de governo eletrônico. Iniciativa desencadeada no decorrer dos anos 90 e instaurada no programa da sociedade da informação de dezembro de 1999, o governo eletrônico surgiu com o intuito de criar um modelo para as atividades relacionadas à TIC (DE SOUZA, 2021). De uma maneira precisa, Viana (2021, p. 6) define que “no seu sentido mais restrito, o governo eletrônico reside no uso das Tecnologias da Informação – TICs pelos governos”.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entanto, sua instituição só aconteceu em 2000, através de um grupo formado por representantes de todos os Ministérios do Governo Federal, com a finalidade de observar as propostas e analisar as metas para os próximos anos, sendo regulamentado por Decreto em 03 de abril de 2000 (BRASIL, 2000).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Entretanto, Ask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(2008) ensinam que o papel do governo eletrônico não é apenas desburocratizar as rotinas públicas com o auxílio das Tecnologias da Informação e Comunicação (TICs), mas também influenciar o maior envolvimento do cidadão na gestão pública, levando-o a ser mais participativo e cooperativo com a gestão do patrimônio público.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Ainda neste diapasão, pode-se destacar que a mera aplicação de tecnologia não é capaz de promover a transformação digital. Daltro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(2021), ao citarem autores como Berger (2014), Keane (2000) e Stief (2016), afirmam que a chave para a transformação digital vai além da tecnologia. De forma complementar, Haffke (2017) afirma que o fenômeno pode ser traduzido como uma oportunidade para a melhoria dos fluxos processuais através do uso do aparato tecnológico.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Desta forma,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Organisation for Economic Co-Operation and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(OECD) lançou, em 2018, um novo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framework</w:t>
      </w:r>
      <w:r>
        <w:rPr>
          <w:rFonts w:ascii="Times New Roman" w:eastAsia="Times New Roman" w:hAnsi="Times New Roman" w:cs="Times New Roman"/>
          <w:sz w:val="24"/>
          <w:szCs w:val="24"/>
        </w:rPr>
        <w:t>, cujo objetivo é destacar a necessidade de migração do conceito de governo eletrônico para o conceito de governo digital, através de um processo de transformação digital visto a partir de dimensões que se referem a seis mudanças de foco: de uma administração centrada no usuário para uma administração orientada para o usuário, da formulação de políticas públicas e prestação de serviços reativa para a proativa, de um governo centrado em informações para um setor público movido a dados, da digitalização dos processos existentes para digital por design, do governo como provedor de serviços ao governo como plataforma para cocriação de valor público e do direito de acesso às informações para aberto por padrão.</w:t>
      </w:r>
    </w:p>
    <w:p w14:paraId="34684351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o governo digital evoluiu da abordagem de preocupações internas, incluindo questões tecnológicas e operacionais, para preocupações externas, incluindo questões institucionais </w:t>
      </w:r>
      <w:r w:rsidR="00123A47">
        <w:rPr>
          <w:rFonts w:ascii="Times New Roman" w:eastAsia="Times New Roman" w:hAnsi="Times New Roman" w:cs="Times New Roman"/>
          <w:sz w:val="24"/>
          <w:szCs w:val="24"/>
        </w:rPr>
        <w:t>e políticas (JANOWSKI, 2014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4684352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53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415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DIGITALIZAÇÃO DE PROCESSOS </w:t>
      </w:r>
    </w:p>
    <w:p w14:paraId="34684354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55" w14:textId="6E25941C" w:rsidR="00124ADB" w:rsidRDefault="00AA6534" w:rsidP="004741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Parviainen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613A">
        <w:rPr>
          <w:rFonts w:ascii="Times New Roman" w:eastAsia="Times New Roman" w:hAnsi="Times New Roman" w:cs="Times New Roman"/>
          <w:sz w:val="24"/>
          <w:szCs w:val="24"/>
        </w:rPr>
        <w:t xml:space="preserve">(2017) </w:t>
      </w:r>
      <w:r>
        <w:rPr>
          <w:rFonts w:ascii="Times New Roman" w:eastAsia="Times New Roman" w:hAnsi="Times New Roman" w:cs="Times New Roman"/>
          <w:sz w:val="24"/>
          <w:szCs w:val="24"/>
        </w:rPr>
        <w:t>destaca que a digitalização</w:t>
      </w:r>
      <w:r w:rsidR="005D1585">
        <w:rPr>
          <w:rFonts w:ascii="Times New Roman" w:eastAsia="Times New Roman" w:hAnsi="Times New Roman" w:cs="Times New Roman"/>
          <w:sz w:val="24"/>
          <w:szCs w:val="24"/>
        </w:rPr>
        <w:t xml:space="preserve"> é uma importante parte da transformação digital. O autor</w:t>
      </w:r>
      <w:r w:rsidR="009F0DD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D1585">
        <w:rPr>
          <w:rFonts w:ascii="Times New Roman" w:eastAsia="Times New Roman" w:hAnsi="Times New Roman" w:cs="Times New Roman"/>
          <w:sz w:val="24"/>
          <w:szCs w:val="24"/>
        </w:rPr>
        <w:t xml:space="preserve"> identifica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uma das principais tendências que mudarão a sociedade e os neg</w:t>
      </w:r>
      <w:r w:rsidR="006366C6">
        <w:rPr>
          <w:rFonts w:ascii="Times New Roman" w:eastAsia="Times New Roman" w:hAnsi="Times New Roman" w:cs="Times New Roman"/>
          <w:sz w:val="24"/>
          <w:szCs w:val="24"/>
        </w:rPr>
        <w:t>ócios no futuro próximo,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gera</w:t>
      </w:r>
      <w:r w:rsidR="006366C6"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benefícios potenciais altos, uma vez que, com a digitalização de processos, os custos podem ser reduzidos em até 90% e os tempos de resposta melhorados.</w:t>
      </w:r>
      <w:r w:rsidR="00D82B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Conforme apontado por Souza (2021), o setor público brasileiro tem apresentado avanços substanciais nas últimas décadas, integrando progressivamente as tecnologias digitais para melhorar a eficiência e agilidade de seus processos internos.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Assim como as informações digitalizadas podem ser armazenadas e manipuladas por sistemas compostos de muitos materiais </w:t>
      </w:r>
      <w:r w:rsidR="005B17DF">
        <w:rPr>
          <w:rFonts w:ascii="Times New Roman" w:eastAsia="Times New Roman" w:hAnsi="Times New Roman" w:cs="Times New Roman"/>
          <w:sz w:val="24"/>
          <w:szCs w:val="24"/>
        </w:rPr>
        <w:t xml:space="preserve">diferentes, </w:t>
      </w:r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r w:rsidR="005B17DF">
        <w:rPr>
          <w:rFonts w:ascii="Times New Roman" w:eastAsia="Times New Roman" w:hAnsi="Times New Roman" w:cs="Times New Roman"/>
          <w:sz w:val="24"/>
          <w:szCs w:val="24"/>
        </w:rPr>
        <w:t xml:space="preserve"> tipos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dados podem ser digitalizados (BRENNEN; KREIS, 2016). Des</w:t>
      </w:r>
      <w:r w:rsidR="00010EAB">
        <w:rPr>
          <w:rFonts w:ascii="Times New Roman" w:eastAsia="Times New Roman" w:hAnsi="Times New Roman" w:cs="Times New Roman"/>
          <w:sz w:val="24"/>
          <w:szCs w:val="24"/>
        </w:rPr>
        <w:t>ta forma, Gouveia aponta (2004)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teremos os processos totalmente digitalizados em detrimento aos realizados por meios não computacionais, como nos casos em que é utilizado um tratamento mais tradicional de circulação de documentos em papel.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Segundo Jasmim (2016), dentro do contexto da informação digitalizada</w:t>
      </w:r>
      <w:r w:rsidR="005928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importante esclarecer que essa informação registrada digitalmente não pode ser interpretada diretamente pelo ser humano sem o uso de equipamentos, como o computador. Desta forma, conforme aponta Tadeu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4E0622">
        <w:rPr>
          <w:rFonts w:ascii="Times New Roman" w:eastAsia="Times New Roman" w:hAnsi="Times New Roman" w:cs="Times New Roman"/>
          <w:sz w:val="24"/>
          <w:szCs w:val="24"/>
        </w:rPr>
        <w:t xml:space="preserve"> (2018),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barreiras que um órgão enfrenta na digitalização de seus processos é a necessidade de investimento, uma vez que uma maturidade digital mínima é exigida para tal.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 fim, Janowski (2015) alerta que a digitalização, em princípio, não envolve redesenhar, melhorar ou de qualquer forma alterar processos, serviços ou práticas existentes, mas apenas digitalizar e automatizar o que já existe e disponibilizar os resultados para </w:t>
      </w:r>
      <w:r w:rsidRPr="00AE284E">
        <w:rPr>
          <w:rFonts w:ascii="Times New Roman" w:eastAsia="Times New Roman" w:hAnsi="Times New Roman" w:cs="Times New Roman"/>
          <w:sz w:val="24"/>
          <w:szCs w:val="24"/>
        </w:rPr>
        <w:t>os mesmos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cli</w:t>
      </w:r>
      <w:r w:rsidR="00377A5F">
        <w:rPr>
          <w:rFonts w:ascii="Times New Roman" w:eastAsia="Times New Roman" w:hAnsi="Times New Roman" w:cs="Times New Roman"/>
          <w:sz w:val="24"/>
          <w:szCs w:val="24"/>
        </w:rPr>
        <w:t>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autor afirma ainda que se um processo era ineficiente antes da digitalização, ele provavelmente permanecerá. </w:t>
      </w:r>
    </w:p>
    <w:p w14:paraId="34684356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57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 PRESTAÇÃO DE CONTAS DA GESTORIA DE EXECUÇÃO FINANCEIRA</w:t>
      </w:r>
    </w:p>
    <w:p w14:paraId="34684358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59" w14:textId="4B0C1DA3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compreender o papel da comprovação de execução financeira na MB, é primordial o entendimento prévio de alguns conceitos de orçamento público. Toda despesa pública, para sua aplicação, passa por três estágios bem definidos e obrigatórios: empenho, liquidação e pagamento (BRASIL, 1964).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Detalhes sobre cada estágio encontram-se presentes na Lei nº 4.320</w:t>
      </w:r>
      <w:r w:rsidR="002759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1964, porém, as apresentações de suas definições são importantes para o entendimento deste estudo. Segundo a referida lei, o empenho de despesa é o ato emanado de autoridade competente que cria para o Estado obrigação de pagamento pendente ou não de implemento de condição, e dele será extraído um documento denominado </w:t>
      </w:r>
      <w:r w:rsidR="0027595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nota de </w:t>
      </w:r>
      <w:r w:rsidR="00275955">
        <w:rPr>
          <w:rFonts w:ascii="Times New Roman" w:eastAsia="Times New Roman" w:hAnsi="Times New Roman" w:cs="Times New Roman"/>
          <w:sz w:val="24"/>
          <w:szCs w:val="24"/>
        </w:rPr>
        <w:t xml:space="preserve">empenho”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carrega informações sobre este compromisso.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Ainda de acordo com a Lei nº 4.320, a liquidação é definida pela verificação do direito adquirido pelo credor tendo por base os títulos e documentos comprobatórios do respectivo crédito, sendo eles: contrato, ajuste ou acordo respectivo; a nota de empenho; comprovantes da entrega de material ou da prestação efetiva do serviço. Somente após a conclusão formal desta etapa que a administração pública poderá efetuar o pagamento ao </w:t>
      </w:r>
      <w:r w:rsidR="009F0E92">
        <w:rPr>
          <w:rFonts w:ascii="Times New Roman" w:eastAsia="Times New Roman" w:hAnsi="Times New Roman" w:cs="Times New Roman"/>
          <w:sz w:val="24"/>
          <w:szCs w:val="24"/>
        </w:rPr>
        <w:t xml:space="preserve">fornecedor. </w:t>
      </w:r>
      <w:r w:rsidR="009F0E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Entrando no âmbito da Marinha, o instrumento que define os procedimentos sobre o tema é a SGM-301-Normas sobre Administração Financeira e Contabilidade. Nela estão contidos detalhes sobre os procedimentos atinentes a cada estágio da execução da despesa, além da definição exata sobre a Gestoria de Execução Financeira, que “compreende as atividades referentes ao processo normal de aplicação dos recursos orçamentários''. Na mesma norma é definido que o responsável por esta Gestoria é o Agente Financeiro da OM.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Em meio às atividades mencionadas, surge </w:t>
      </w:r>
      <w:r w:rsidR="00232BF5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figura da Prestação de Contas da Gestoria de Execução Financeira. Por força da SGM-401, </w:t>
      </w:r>
      <w:r w:rsidR="00275955">
        <w:rPr>
          <w:rFonts w:ascii="Times New Roman" w:eastAsia="Times New Roman" w:hAnsi="Times New Roman" w:cs="Times New Roman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composta por uma série de documentos, que são impressos e arquivados na OM, por um período de dez anos, de forma física e eletronicamente/digitalmente (BRASIL, 2014).</w:t>
      </w:r>
    </w:p>
    <w:p w14:paraId="3468435A" w14:textId="77777777" w:rsidR="00440E94" w:rsidRDefault="00440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5B" w14:textId="77777777" w:rsidR="00254FC8" w:rsidRDefault="00254FC8">
      <w:pPr>
        <w:pStyle w:val="Ttulo1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zdg04zd9aap1"/>
      <w:bookmarkEnd w:id="1"/>
    </w:p>
    <w:p w14:paraId="3468435C" w14:textId="77777777" w:rsidR="00254FC8" w:rsidRDefault="00254FC8">
      <w:pPr>
        <w:pStyle w:val="Ttulo1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5D" w14:textId="77777777" w:rsidR="00440E94" w:rsidRDefault="00AA6534">
      <w:pPr>
        <w:pStyle w:val="Ttulo1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METODOLOGIA DE PESQUISA</w:t>
      </w:r>
      <w:bookmarkStart w:id="2" w:name="_860jdrs5xk3m"/>
      <w:bookmarkEnd w:id="2"/>
    </w:p>
    <w:p w14:paraId="3468435E" w14:textId="77777777" w:rsidR="00254FC8" w:rsidRPr="00254FC8" w:rsidRDefault="00254FC8" w:rsidP="00254FC8"/>
    <w:p w14:paraId="3468435F" w14:textId="77777777" w:rsidR="00124ADB" w:rsidRDefault="00AA6534">
      <w:pPr>
        <w:pStyle w:val="Ttulo1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TIPO DE PESQUISA</w:t>
      </w:r>
    </w:p>
    <w:p w14:paraId="34684360" w14:textId="77777777" w:rsidR="00124ADB" w:rsidRDefault="00124ADB"/>
    <w:p w14:paraId="34684361" w14:textId="027E929F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estudo possui caráter qualitativo, uma vez que teve o ambiente como fonte direta dos dados e um trabalho intenso de campo (PRODANOV; FREITAS, 2013). Além disso, conforme Gil (2008), uma análise qualitativa utiliza-se a categorização para análise dos dados coletados e obtenção de ideias mais abrangentes sobre os mesmos, conforme foi realizado no presente artigo.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Para a classificação desta pesquisa, foi adotada a exposta por Prodanov e Freitas (2013) que qualifica um estudo em três categorias: quanto à natureza, ao objeto e ao procedimento.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Quanto à natureza, classifica-se como uma pesquisa aplicada. Conforme o problema de pesquisa buscou identificar os benefícios e os gargalos de uma prestação de contas digital, sendo assim, objetiva gerar conhecimentos para aplicação prática dirigidos à solução de problemas específicos (PRODANOV; FREITAS, 2013).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Do ponto de vista de seus objetos, o estudo em questão terá natureza descritiva, pois através da percepção dos militares envolvidos no processo de comprovação de execução financeira e na temática de transformação digital na MB, visa identificar padrões, relações e causas que podem ser categorizados para identificar os benefícios gerados da nova prática e os gargalos enfrentados no processo (GIL, 2002).</w:t>
      </w:r>
    </w:p>
    <w:p w14:paraId="34684362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estratégia adotada nesta pesquisa foi </w:t>
      </w:r>
      <w:r w:rsidR="00454156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realização de um estudo de caso elaborado conforme as definições de Yin (2001). Nesta fase, teve como unidade de análise a prestação de contas de execução financeira dentro do contexto do CLogMat. Além disso, estipulou-se como questão de estudo o problema de pesquisa apontado na primeira seção deste trabalho.</w:t>
      </w:r>
    </w:p>
    <w:p w14:paraId="34684363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64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DELIMITAÇÃO DA PESQUISA</w:t>
      </w:r>
    </w:p>
    <w:p w14:paraId="34684365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66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presente pesquisa</w:t>
      </w:r>
      <w:r w:rsidR="003C64DA">
        <w:rPr>
          <w:rFonts w:ascii="Times New Roman" w:eastAsia="Times New Roman" w:hAnsi="Times New Roman" w:cs="Times New Roman"/>
          <w:sz w:val="24"/>
          <w:szCs w:val="24"/>
        </w:rPr>
        <w:t xml:space="preserve"> foca no processo de prestação de contas, desta forma</w:t>
      </w:r>
      <w:r w:rsidR="003417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visa elencar as necessidades de alteração das normas</w:t>
      </w:r>
      <w:r w:rsidR="003C64DA">
        <w:rPr>
          <w:rFonts w:ascii="Times New Roman" w:eastAsia="Times New Roman" w:hAnsi="Times New Roman" w:cs="Times New Roman"/>
          <w:sz w:val="24"/>
          <w:szCs w:val="24"/>
        </w:rPr>
        <w:t xml:space="preserve"> reguladoras sobre a prestação de contas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execução financeira, tampouco os impactos causados pela digitalização de comprovações de outras gestorias, uma vez que cada uma possui particularidades que poderão gerar comportamentos distintos perante a digita</w:t>
      </w:r>
      <w:r w:rsidR="00475A01">
        <w:rPr>
          <w:rFonts w:ascii="Times New Roman" w:eastAsia="Times New Roman" w:hAnsi="Times New Roman" w:cs="Times New Roman"/>
          <w:sz w:val="24"/>
          <w:szCs w:val="24"/>
        </w:rPr>
        <w:t>lização.</w:t>
      </w:r>
      <w:r w:rsidR="003C64DA">
        <w:rPr>
          <w:rFonts w:ascii="Times New Roman" w:eastAsia="Times New Roman" w:hAnsi="Times New Roman" w:cs="Times New Roman"/>
          <w:sz w:val="24"/>
          <w:szCs w:val="24"/>
        </w:rPr>
        <w:tab/>
      </w:r>
      <w:r w:rsidR="00475A01">
        <w:rPr>
          <w:rFonts w:ascii="Times New Roman" w:eastAsia="Times New Roman" w:hAnsi="Times New Roman" w:cs="Times New Roman"/>
          <w:sz w:val="24"/>
          <w:szCs w:val="24"/>
        </w:rPr>
        <w:br/>
      </w:r>
      <w:r w:rsidR="00475A01">
        <w:rPr>
          <w:rFonts w:ascii="Times New Roman" w:eastAsia="Times New Roman" w:hAnsi="Times New Roman" w:cs="Times New Roman"/>
          <w:sz w:val="24"/>
          <w:szCs w:val="24"/>
        </w:rPr>
        <w:tab/>
        <w:t>A implementação de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comprovação em meio digital possui caráter experimental, e o CLogMat foi definido como a OM-piloto para sua realização iniciado em maio de 2020. Com o fim da fase de teste, espera-se a definição de um modelo estrutural e tecnológico para ser replicado na MB como um to</w:t>
      </w:r>
      <w:r w:rsidR="002C7137">
        <w:rPr>
          <w:rFonts w:ascii="Times New Roman" w:eastAsia="Times New Roman" w:hAnsi="Times New Roman" w:cs="Times New Roman"/>
          <w:sz w:val="24"/>
          <w:szCs w:val="24"/>
        </w:rPr>
        <w:t xml:space="preserve">do. </w:t>
      </w:r>
      <w:r w:rsidR="002C7137">
        <w:rPr>
          <w:rFonts w:ascii="Times New Roman" w:eastAsia="Times New Roman" w:hAnsi="Times New Roman" w:cs="Times New Roman"/>
          <w:sz w:val="24"/>
          <w:szCs w:val="24"/>
        </w:rPr>
        <w:tab/>
      </w:r>
      <w:r w:rsidR="002C7137">
        <w:rPr>
          <w:rFonts w:ascii="Times New Roman" w:eastAsia="Times New Roman" w:hAnsi="Times New Roman" w:cs="Times New Roman"/>
          <w:sz w:val="24"/>
          <w:szCs w:val="24"/>
        </w:rPr>
        <w:br/>
      </w:r>
      <w:r w:rsidR="002C7137">
        <w:rPr>
          <w:rFonts w:ascii="Times New Roman" w:eastAsia="Times New Roman" w:hAnsi="Times New Roman" w:cs="Times New Roman"/>
          <w:sz w:val="24"/>
          <w:szCs w:val="24"/>
        </w:rPr>
        <w:tab/>
        <w:t xml:space="preserve">Neste sentido, o estudo contou </w:t>
      </w:r>
      <w:r>
        <w:rPr>
          <w:rFonts w:ascii="Times New Roman" w:eastAsia="Times New Roman" w:hAnsi="Times New Roman" w:cs="Times New Roman"/>
          <w:sz w:val="24"/>
          <w:szCs w:val="24"/>
        </w:rPr>
        <w:t>com dados extraídos de militares que servem em apenas uma OM, tornando uma limitação no que tange a diversificação de informações.</w:t>
      </w:r>
      <w:r w:rsidR="002C7137">
        <w:rPr>
          <w:rFonts w:ascii="Times New Roman" w:eastAsia="Times New Roman" w:hAnsi="Times New Roman" w:cs="Times New Roman"/>
          <w:sz w:val="24"/>
          <w:szCs w:val="24"/>
        </w:rPr>
        <w:br/>
      </w:r>
      <w:r w:rsidR="002C7137">
        <w:rPr>
          <w:rFonts w:ascii="Times New Roman" w:eastAsia="Times New Roman" w:hAnsi="Times New Roman" w:cs="Times New Roman"/>
          <w:sz w:val="24"/>
          <w:szCs w:val="24"/>
        </w:rPr>
        <w:tab/>
        <w:t xml:space="preserve">Outra delimitação </w:t>
      </w:r>
      <w:r>
        <w:rPr>
          <w:rFonts w:ascii="Times New Roman" w:eastAsia="Times New Roman" w:hAnsi="Times New Roman" w:cs="Times New Roman"/>
          <w:sz w:val="24"/>
          <w:szCs w:val="24"/>
        </w:rPr>
        <w:t>é o período das informações. Uma vez que analisa dados de um projeto piloto relativamente recente, uma aná</w:t>
      </w:r>
      <w:r w:rsidR="004758FF">
        <w:rPr>
          <w:rFonts w:ascii="Times New Roman" w:eastAsia="Times New Roman" w:hAnsi="Times New Roman" w:cs="Times New Roman"/>
          <w:sz w:val="24"/>
          <w:szCs w:val="24"/>
        </w:rPr>
        <w:t>lise quantitativa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ficou inviável, tendo em vista o pouco histórico de indicadores decorrente da forma gradual que a OM e suas centralizadas adaptaram-se ao tema.</w:t>
      </w:r>
    </w:p>
    <w:p w14:paraId="34684367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68" w14:textId="77777777" w:rsidR="00124ADB" w:rsidRDefault="00AA65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567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DE CASO</w:t>
      </w:r>
    </w:p>
    <w:p w14:paraId="34684369" w14:textId="77777777" w:rsidR="00124ADB" w:rsidRDefault="00124A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6A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estudo de caso é definido por Yin (2001. p. 32) “como uma investigação empírica que investiga um fenômeno contemporâneo dentro de seu contexto da vida real, especialmente quando os limites entre o fenômeno e o contexto </w:t>
      </w:r>
      <w:r w:rsidR="00BA1EA6">
        <w:rPr>
          <w:rFonts w:ascii="Times New Roman" w:eastAsia="Times New Roman" w:hAnsi="Times New Roman" w:cs="Times New Roman"/>
          <w:sz w:val="24"/>
          <w:szCs w:val="24"/>
        </w:rPr>
        <w:t>não estão claramente definidos.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Sendo assim, o autor ainda pontua que esta estratégia de pesquisa pode ser usada quando deliberadamente lida-se com condições contextuais, tendo como premissa que elas são altamente pertinentes ao fenômeno estudado (YIN, 2001). </w:t>
      </w:r>
    </w:p>
    <w:p w14:paraId="3468436B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Neste sentido, a prestação de contas de execução financeira foi estudada dentro do CLogMat, uma vez que a OM, conforme documento interno da Força, foi definida como projeto piloto para a digitalização de seus processos. </w:t>
      </w:r>
    </w:p>
    <w:p w14:paraId="3468436C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Ainda alinhado com o autor, a investigação presente em um estudo de caso enfrenta uma situação tecnicamente única, que para atingir os resultados, baseia-se em várias fontes de evidências. Desta forma, o presente estudo contou com diferentes formas de coletas de dados, buscando uma conversão em um único ponto (YIN, 2001). </w:t>
      </w:r>
    </w:p>
    <w:p w14:paraId="3468436D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Quanto à classificação, o estudo é definido como estudo de caso único, uma vez que, por se tratar de procedimento recente, não existem outras fontes de coleta das informações práticas sobre </w:t>
      </w:r>
      <w:r w:rsidR="00BA6DC8">
        <w:rPr>
          <w:rFonts w:ascii="Times New Roman" w:eastAsia="Times New Roman" w:hAnsi="Times New Roman" w:cs="Times New Roman"/>
          <w:sz w:val="24"/>
          <w:szCs w:val="24"/>
        </w:rPr>
        <w:t>o objeto em análise. Portanto</w:t>
      </w:r>
      <w:r>
        <w:rPr>
          <w:rFonts w:ascii="Times New Roman" w:eastAsia="Times New Roman" w:hAnsi="Times New Roman" w:cs="Times New Roman"/>
          <w:sz w:val="24"/>
          <w:szCs w:val="24"/>
        </w:rPr>
        <w:t>, possui característica inacessível à investigação científica, tornando-o um caso revelador (YIN, 2001).</w:t>
      </w:r>
    </w:p>
    <w:p w14:paraId="3468436E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6F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567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COLETA DE DADOS</w:t>
      </w:r>
    </w:p>
    <w:p w14:paraId="34684370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71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foco no primeiro e terceiro objetivo específico deste estudo, fo</w:t>
      </w:r>
      <w:r w:rsidR="00DF6B51">
        <w:rPr>
          <w:rFonts w:ascii="Times New Roman" w:eastAsia="Times New Roman" w:hAnsi="Times New Roman" w:cs="Times New Roman"/>
          <w:sz w:val="24"/>
          <w:szCs w:val="24"/>
        </w:rPr>
        <w:t>ram realizadas entrevistas semi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estruturadas para a coleta de informações (PRODANOV; FREITAS, 2013). Segundo Gil (2002), uma entrevista só é validada após a realização de pré-teste, desta forma, foram entrevistados três militares que já exerceram a função de Agente Financeiro, sendo verificada a necessidade de alteração de três perguntas por conta da dificuldade de compreensão.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 o intuito de colher o máximo de informações sobre o tema, três categorias diferentes de entrevistas foram aplicadas: </w:t>
      </w:r>
      <w:r w:rsidR="002B0113">
        <w:rPr>
          <w:rFonts w:ascii="Times New Roman" w:eastAsia="Times New Roman" w:hAnsi="Times New Roman" w:cs="Times New Roman"/>
          <w:sz w:val="24"/>
          <w:szCs w:val="24"/>
        </w:rPr>
        <w:t xml:space="preserve">Agente Financeiro do CLogMat (Apêndice A), </w:t>
      </w:r>
      <w:r>
        <w:rPr>
          <w:rFonts w:ascii="Times New Roman" w:eastAsia="Times New Roman" w:hAnsi="Times New Roman" w:cs="Times New Roman"/>
          <w:sz w:val="24"/>
          <w:szCs w:val="24"/>
        </w:rPr>
        <w:t>Oficiais que servem no CLogMat</w:t>
      </w:r>
      <w:r w:rsidR="002B0113">
        <w:rPr>
          <w:rFonts w:ascii="Times New Roman" w:eastAsia="Times New Roman" w:hAnsi="Times New Roman" w:cs="Times New Roman"/>
          <w:sz w:val="24"/>
          <w:szCs w:val="24"/>
        </w:rPr>
        <w:t xml:space="preserve"> (Apêndice 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B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oficiais superiores componentes do Laboratório de Inovação da DAdM</w:t>
      </w:r>
      <w:r w:rsidR="002B01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D0D1B">
        <w:rPr>
          <w:rFonts w:ascii="Times New Roman" w:eastAsia="Times New Roman" w:hAnsi="Times New Roman" w:cs="Times New Roman"/>
          <w:sz w:val="24"/>
          <w:szCs w:val="24"/>
        </w:rPr>
        <w:t>Apêndice</w:t>
      </w:r>
      <w:r w:rsidR="002B0113">
        <w:rPr>
          <w:rFonts w:ascii="Times New Roman" w:eastAsia="Times New Roman" w:hAnsi="Times New Roman" w:cs="Times New Roman"/>
          <w:sz w:val="24"/>
          <w:szCs w:val="24"/>
        </w:rPr>
        <w:t xml:space="preserve"> C)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01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Conforme apresentado por Sano </w:t>
      </w:r>
      <w:r w:rsidRPr="00ED05AC">
        <w:rPr>
          <w:rFonts w:ascii="Times New Roman" w:eastAsia="Times New Roman" w:hAnsi="Times New Roman" w:cs="Times New Roman"/>
          <w:sz w:val="24"/>
          <w:szCs w:val="24"/>
        </w:rPr>
        <w:t>apud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</w:rPr>
        <w:t>(2020), os laboratórios de inovação são estruturas que fazem parte da administração pública, em geral possuem uma equipe e estrutura próprias voltadas para fomentar a criatividade e a experimentação,</w:t>
      </w:r>
      <w:r w:rsidR="00DF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bem como atuam no intuito de desenvolver inovações para melhorar os serviços públicos e lidar com problemas complexos.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Desta forma, o Laboratório de Inovação da DAdM tem como uma de suas agendas a digitalização de processos administrativos que a MB realiza, conforme apontado nas entrevistas. Os Oficiais entrevistados do laboratório estão envolvidos há pelo menos dois anos com o tema: transformação digital na MB.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entrevistas com os Oficiais que servem no CLogMat foram motivadas pela experiência vivenciada com o processo digital, o que possibilitou uma comparação com as OM que serviram anteriormente. Os militares entrevistados possuíam o seguinte perfil: </w:t>
      </w:r>
    </w:p>
    <w:p w14:paraId="34684372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73" w14:textId="4CCB7E48" w:rsidR="00124ADB" w:rsidRPr="00637880" w:rsidRDefault="00B856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7880">
        <w:rPr>
          <w:rFonts w:ascii="Times New Roman" w:eastAsia="Times New Roman" w:hAnsi="Times New Roman" w:cs="Times New Roman"/>
          <w:b/>
          <w:sz w:val="20"/>
          <w:szCs w:val="20"/>
        </w:rPr>
        <w:t>Q</w:t>
      </w:r>
      <w:r w:rsidR="00651159" w:rsidRPr="00637880">
        <w:rPr>
          <w:rFonts w:ascii="Times New Roman" w:eastAsia="Times New Roman" w:hAnsi="Times New Roman" w:cs="Times New Roman"/>
          <w:b/>
          <w:sz w:val="20"/>
          <w:szCs w:val="20"/>
        </w:rPr>
        <w:t>uadro</w:t>
      </w:r>
      <w:r w:rsidRPr="0063788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</w:t>
      </w:r>
      <w:r w:rsidR="00A9349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</w:t>
      </w:r>
      <w:r w:rsidR="00A9349B" w:rsidRPr="0063788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37880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651159" w:rsidRPr="00637880">
        <w:rPr>
          <w:rFonts w:ascii="Times New Roman" w:eastAsia="Times New Roman" w:hAnsi="Times New Roman" w:cs="Times New Roman"/>
          <w:b/>
          <w:bCs/>
          <w:sz w:val="20"/>
          <w:szCs w:val="20"/>
        </w:rPr>
        <w:t>erfil dos militares entrevistados</w:t>
      </w:r>
    </w:p>
    <w:tbl>
      <w:tblPr>
        <w:tblW w:w="8775" w:type="dxa"/>
        <w:tblInd w:w="2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8"/>
        <w:gridCol w:w="2150"/>
        <w:gridCol w:w="3686"/>
        <w:gridCol w:w="1521"/>
      </w:tblGrid>
      <w:tr w:rsidR="00124ADB" w14:paraId="34684378" w14:textId="77777777" w:rsidTr="00637880">
        <w:trPr>
          <w:trHeight w:val="40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4684374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4684375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4684376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4684377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Tempo de Força (anos)</w:t>
            </w:r>
          </w:p>
        </w:tc>
      </w:tr>
      <w:tr w:rsidR="00124ADB" w14:paraId="3468437D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79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7A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 de Mar e Guerra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7B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7C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24ADB" w14:paraId="34684382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7E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7F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 de Corveta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0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Encarregado da Divisão do Programa Netuno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1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24ADB" w14:paraId="34684387" w14:textId="77777777" w:rsidTr="00637880">
        <w:trPr>
          <w:trHeight w:val="63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3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4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 de Corveta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5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Encarregado da Seção de Consultoria do Programa Netuno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6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24ADB" w14:paraId="3468438C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8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9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Capitão-Tenente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A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Encarregado da Divisão de Finanças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B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4ADB" w14:paraId="34684391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D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E5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E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Capitão-Tenente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8F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Chefe do Departamento de Obtenção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0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4ADB" w14:paraId="34684396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2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E6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3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Capitão-Tenente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4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Ajudante do Departamento de Obtenção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5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4ADB" w14:paraId="3468439B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7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E7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8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Capitão-Tenente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9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Encarregado da Divisão de Licitação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A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4ADB" w14:paraId="346843A0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C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E8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D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Primeiro-Tenente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E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Encarregado da Divisão de Finanças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9F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4ADB" w14:paraId="346843A5" w14:textId="77777777" w:rsidTr="006378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A1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E9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A2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Primeiro-Tenente (IM)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A3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Ajudante da Divisão de Finanças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843A4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46843A6" w14:textId="552BA511" w:rsidR="00124ADB" w:rsidRDefault="00AA6534">
      <w:pPr>
        <w:spacing w:after="240"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Fonte:</w:t>
      </w:r>
      <w:r w:rsidR="000664C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Elaborada pelo autor</w:t>
      </w:r>
      <w:r w:rsidR="00A9349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46843A7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Alinhado com o segundo objetivo específico deste trabalho, foi elaborado um questionário e enviado para militares envolvidos na confecção da prestação de contas de execução financeira em meio físico e que compartilham a característica de OM centralizadora com o CLogMat.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A8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sua melhor aplicação, foi realizado um pré-teste com dez militares que já exerceram a função de Agente Financeiro com o objetivo de identificar possíveis inadequações do instrumento de coleta de dados (GIL, 2008). Após o pré-teste, foi alterada uma questão aberta que possuía compreensão ambígua com base no retorno dos respondentes.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questionário foi composto por seis perguntas abertas e igual </w:t>
      </w:r>
      <w:r w:rsidR="00A32744">
        <w:rPr>
          <w:rFonts w:ascii="Times New Roman" w:eastAsia="Times New Roman" w:hAnsi="Times New Roman" w:cs="Times New Roman"/>
          <w:sz w:val="24"/>
          <w:szCs w:val="24"/>
        </w:rPr>
        <w:t xml:space="preserve">quantidade de fechadas. Ele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enviado, por meio da plataforma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Google Forms</w:t>
      </w:r>
      <w:r w:rsidRPr="00AA16A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50 militares, ficando disponível para resposta pelo período de dez d</w:t>
      </w:r>
      <w:r w:rsidR="00FA75AB">
        <w:rPr>
          <w:rFonts w:ascii="Times New Roman" w:eastAsia="Times New Roman" w:hAnsi="Times New Roman" w:cs="Times New Roman"/>
          <w:sz w:val="24"/>
          <w:szCs w:val="24"/>
        </w:rPr>
        <w:t xml:space="preserve">ias, obtendo o total de </w:t>
      </w:r>
      <w:r w:rsidR="00223AB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respondentes.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A9" w14:textId="77777777" w:rsidR="00124ADB" w:rsidRDefault="00AA65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APRESENTAÇÃO E DISCUSSÃO DOS RESULTADOS</w:t>
      </w:r>
    </w:p>
    <w:p w14:paraId="346843AA" w14:textId="77777777" w:rsidR="00124ADB" w:rsidRDefault="00124ADB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6843AB" w14:textId="77777777" w:rsidR="00124ADB" w:rsidRDefault="00AA653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 O CENTRO L</w:t>
      </w:r>
      <w:r w:rsidR="00861E42">
        <w:rPr>
          <w:rFonts w:ascii="Times New Roman" w:eastAsia="Times New Roman" w:hAnsi="Times New Roman" w:cs="Times New Roman"/>
          <w:bCs/>
          <w:sz w:val="24"/>
          <w:szCs w:val="24"/>
        </w:rPr>
        <w:t>OGÍSTICO DE MATERIAL DA MARINHA</w:t>
      </w:r>
    </w:p>
    <w:p w14:paraId="346843AC" w14:textId="77777777" w:rsidR="00124ADB" w:rsidRDefault="00124AD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843AD" w14:textId="7DD00F6E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 Centro Logístico do</w:t>
      </w:r>
      <w:r w:rsidR="00630A12">
        <w:rPr>
          <w:rFonts w:ascii="Times New Roman" w:eastAsia="Times New Roman" w:hAnsi="Times New Roman" w:cs="Times New Roman"/>
          <w:sz w:val="24"/>
          <w:szCs w:val="24"/>
        </w:rPr>
        <w:t xml:space="preserve"> Material da Marinha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sede no Rio de Janeiro – RJ, foi criado pela Portaria </w:t>
      </w:r>
      <w:r w:rsidR="0084036E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15/MB, de 10 de janeiro de 2020, alterada pela Portaria </w:t>
      </w:r>
      <w:r w:rsidR="0084036E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260/MB, de 20 de agosto de 2020 (BRASIL, 2022). </w:t>
      </w:r>
    </w:p>
    <w:p w14:paraId="346843AE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Como sua principal função, o CLogMat centraliza as gestorias de Execução Financeira, Pagamento de Pessoal, Pagamentos Imediatos, Obtenção, serviços administrativos de Pessoal e Transporte das Organizações Militares do Setor do Material situadas no Edifício Barão de Ladário (EdBL).</w:t>
      </w:r>
    </w:p>
    <w:p w14:paraId="346843AF" w14:textId="11C2099E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Em seu Plano Estratégico Organizacional (PEO)¹, está definido como objetivo estratégico:</w:t>
      </w:r>
      <w:r w:rsidR="00DC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“OE-2</w:t>
      </w:r>
      <w:r w:rsidR="00DC2C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Aumentar a eficiência na Gestão Administrativa das OM do EdBL”. Neste sentido, para que possa atingir tal objetivo, estipulou como uma de suas premissas a digitalização de documentos e informatização de processos. </w:t>
      </w:r>
    </w:p>
    <w:p w14:paraId="346843B0" w14:textId="2AD9C4AB" w:rsidR="00124ADB" w:rsidRDefault="00AA6534" w:rsidP="00EF7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Por sua característica, este Centro foi selecionado, pela DAdM, para ser o projeto piloto na digitalização das gestorias. Além disso, por se tratar de uma OM que foi estruturada com a premissa de digitalização de documentos e processos, </w:t>
      </w:r>
      <w:r w:rsidR="0084036E"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o caso estudado para atingir o objetivo geral deste </w:t>
      </w:r>
      <w:r w:rsidR="00EF7058">
        <w:rPr>
          <w:rFonts w:ascii="Times New Roman" w:eastAsia="Times New Roman" w:hAnsi="Times New Roman" w:cs="Times New Roman"/>
          <w:sz w:val="24"/>
          <w:szCs w:val="24"/>
        </w:rPr>
        <w:t xml:space="preserve">trabalho. </w:t>
      </w:r>
      <w:r w:rsidR="00DC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6843B1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Dentre os departamentos presentes na OM, encontra-se o Departamento de Finanças (CLogMat-10), responsável por desempenhar as atividades relativas a Gestoria de Execução Financeira de sua própria OM e das centralizadas. Dentre as atividades principais deste Departamento, as envolvidas com a prestação de contas são: emissão de nota de empenho, liquidação e pagamento das notas de empenho e montagem da prestação de contas.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B2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 PRESTAÇ</w:t>
      </w:r>
      <w:r w:rsidR="004A0072">
        <w:rPr>
          <w:rFonts w:ascii="Times New Roman" w:eastAsia="Times New Roman" w:hAnsi="Times New Roman" w:cs="Times New Roman"/>
          <w:bCs/>
          <w:sz w:val="24"/>
          <w:szCs w:val="24"/>
        </w:rPr>
        <w:t>ÃO DA EXECUÇÃO FINANCEIRA NO CLogMat</w:t>
      </w:r>
    </w:p>
    <w:p w14:paraId="346843B3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843B4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Visando atingir o primeiro</w:t>
      </w:r>
      <w:r w:rsidR="00094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BAC">
        <w:rPr>
          <w:rFonts w:ascii="Times New Roman" w:eastAsia="Times New Roman" w:hAnsi="Times New Roman" w:cs="Times New Roman"/>
          <w:sz w:val="24"/>
          <w:szCs w:val="24"/>
        </w:rPr>
        <w:t>objetivo específico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foi realizada uma entrevista com a Agente Financeiro do CLogMat. Desta forma, a cinemática detalhada sobre como o processo ocorre hoje, baseia-se nas informações coletadas na entrevista e observações realizadas pelo autor.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Para uma melhor compreensão sobre os trâmites executados, serão apresentados dois procedimentos prévios à elaboração da prestação de contas. Cada etapa será apresentada por meio de fluxogramas simplificados elaborados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software Bizagi Modeler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primeiro procedimento é a emissão da nota de empenho demonstrada na Figura 1. Um ponto de destaque é a realização desta etapa exclusivamente em meio digital.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principal ferramenta </w:t>
      </w:r>
      <w:r w:rsidR="00FE7E8D">
        <w:rPr>
          <w:rFonts w:ascii="Times New Roman" w:eastAsia="Times New Roman" w:hAnsi="Times New Roman" w:cs="Times New Roman"/>
          <w:sz w:val="24"/>
          <w:szCs w:val="24"/>
        </w:rPr>
        <w:t xml:space="preserve">utilizada </w:t>
      </w:r>
      <w:r>
        <w:rPr>
          <w:rFonts w:ascii="Times New Roman" w:eastAsia="Times New Roman" w:hAnsi="Times New Roman" w:cs="Times New Roman"/>
          <w:sz w:val="24"/>
          <w:szCs w:val="24"/>
        </w:rPr>
        <w:t>é o Sistema de Gerenciamento de Documentos Eletrônicos da Marinha (SiGDEM) na versão 2.0.6.0, ainda em fase de teste no CLo</w:t>
      </w:r>
      <w:r w:rsidR="00505113">
        <w:rPr>
          <w:rFonts w:ascii="Times New Roman" w:eastAsia="Times New Roman" w:hAnsi="Times New Roman" w:cs="Times New Roman"/>
          <w:sz w:val="24"/>
          <w:szCs w:val="24"/>
        </w:rPr>
        <w:t xml:space="preserve">gMat e na DAdM. Esta ferramenta, utilizada para trâmites internos de documento,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como uma de suas regras de negócio a possibilidade de assinatura de documentos de forma digital durante todas as etapas do processo.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Para efetuar a assinatura, faz-se necessário o uso do certificado digital emitido por qualquer Autoridade Certificadora cadastrada na Infraestrutura de Chaves Públicas Brasileira (ICP-Brasil), o que garante validade jurídica do ato (BRASIL, 2022).</w:t>
      </w:r>
    </w:p>
    <w:p w14:paraId="346843B5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346843B6" w14:textId="50165E7C" w:rsidR="00124ADB" w:rsidRDefault="00AA6534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</w:t>
      </w:r>
      <w:r w:rsidR="001B04F5">
        <w:rPr>
          <w:rFonts w:ascii="Times New Roman" w:eastAsia="Times New Roman" w:hAnsi="Times New Roman" w:cs="Times New Roman"/>
          <w:b/>
        </w:rPr>
        <w:t>igura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="00DC2C32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P</w:t>
      </w:r>
      <w:r w:rsidR="001B04F5">
        <w:rPr>
          <w:rFonts w:ascii="Times New Roman" w:eastAsia="Times New Roman" w:hAnsi="Times New Roman" w:cs="Times New Roman"/>
          <w:b/>
        </w:rPr>
        <w:t>rocesso de emissão de nota de empenho</w:t>
      </w:r>
    </w:p>
    <w:p w14:paraId="346843B7" w14:textId="77777777" w:rsidR="00124ADB" w:rsidRDefault="00AA65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6844A7" wp14:editId="346844A8">
            <wp:extent cx="5657215" cy="281241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85" t="929" r="1385" b="21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43B8" w14:textId="2EACDDCE" w:rsidR="00124ADB" w:rsidRDefault="00AA6534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Fonte: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Elaborado pelo autor (2022)</w:t>
      </w:r>
      <w:r w:rsidR="0084036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46843B9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BA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B04F5">
        <w:rPr>
          <w:rFonts w:ascii="Times New Roman" w:eastAsia="Times New Roman" w:hAnsi="Times New Roman" w:cs="Times New Roman"/>
          <w:sz w:val="24"/>
          <w:szCs w:val="24"/>
        </w:rPr>
        <w:t>segunda etapa trata</w:t>
      </w:r>
      <w:r w:rsidR="005106BD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pagamento das Notas de Empenho. Aqui, verifica-se um grande gargalo que obriga a adoção de um procedimento híbrido, ocorrendo de forma física e digital. </w:t>
      </w:r>
    </w:p>
    <w:p w14:paraId="346843BB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BC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BD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BE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BF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0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1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2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3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4" w14:textId="77777777" w:rsidR="007F083C" w:rsidRDefault="007F08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5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6" w14:textId="05339D22" w:rsidR="00124ADB" w:rsidRPr="006E2199" w:rsidRDefault="00AA653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1B04F5" w:rsidRPr="006E2199">
        <w:rPr>
          <w:rFonts w:ascii="Times New Roman" w:eastAsia="Times New Roman" w:hAnsi="Times New Roman" w:cs="Times New Roman"/>
          <w:b/>
          <w:sz w:val="20"/>
          <w:szCs w:val="20"/>
        </w:rPr>
        <w:t>igura</w:t>
      </w: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DC2C32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1B04F5" w:rsidRPr="006E2199">
        <w:rPr>
          <w:rFonts w:ascii="Times New Roman" w:eastAsia="Times New Roman" w:hAnsi="Times New Roman" w:cs="Times New Roman"/>
          <w:b/>
          <w:sz w:val="20"/>
          <w:szCs w:val="20"/>
        </w:rPr>
        <w:t>rocesso de pagamento</w:t>
      </w:r>
    </w:p>
    <w:p w14:paraId="346843C7" w14:textId="77777777" w:rsidR="00124ADB" w:rsidRDefault="00AA65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6844A9" wp14:editId="346844AA">
            <wp:extent cx="5860415" cy="318643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43C8" w14:textId="548EFAA3" w:rsidR="00124ADB" w:rsidRDefault="00AA653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Fonte: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Elaborado pelo autor (2022)</w:t>
      </w:r>
      <w:r w:rsidR="00FE1EBC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46843C9" w14:textId="77777777" w:rsidR="00124ADB" w:rsidRDefault="00124AD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6843CA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Tendo em vista que muitos militares ainda não possuem o certificado ICP-Brasil, muitas notas fiscais chegam </w:t>
      </w:r>
      <w:r w:rsidR="001205EE"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CLogMat de forma física, tramitam pelos responsáveis para sua assinatura e, por fim, são digitalizadas para tramitação no SiGDEM 2.0.6.0.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A última etapa para a elaboração da prestação de contas de maneira digital é a efetiva organização dos documentos necessários utilizando-se da nova versão do SiGDEM.</w:t>
      </w:r>
    </w:p>
    <w:p w14:paraId="346843CB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CC" w14:textId="281FCBEA" w:rsidR="00124ADB" w:rsidRPr="006E2199" w:rsidRDefault="00AA653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1B04F5" w:rsidRPr="006E2199">
        <w:rPr>
          <w:rFonts w:ascii="Times New Roman" w:eastAsia="Times New Roman" w:hAnsi="Times New Roman" w:cs="Times New Roman"/>
          <w:b/>
          <w:sz w:val="20"/>
          <w:szCs w:val="20"/>
        </w:rPr>
        <w:t>igura</w:t>
      </w: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 xml:space="preserve"> 3</w:t>
      </w:r>
      <w:r w:rsidR="00DC2C32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1B04F5" w:rsidRPr="006E2199">
        <w:rPr>
          <w:rFonts w:ascii="Times New Roman" w:eastAsia="Times New Roman" w:hAnsi="Times New Roman" w:cs="Times New Roman"/>
          <w:b/>
          <w:sz w:val="20"/>
          <w:szCs w:val="20"/>
        </w:rPr>
        <w:t>rocesso de montagem da prestação de contas</w:t>
      </w:r>
    </w:p>
    <w:p w14:paraId="346843CD" w14:textId="77777777" w:rsidR="00124ADB" w:rsidRDefault="00AA65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46844AB" wp14:editId="346844AC">
            <wp:extent cx="5590086" cy="2343150"/>
            <wp:effectExtent l="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17" cy="234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43CE" w14:textId="6DA5F8F7" w:rsidR="00124ADB" w:rsidRDefault="00AA6534">
      <w:pPr>
        <w:spacing w:after="240" w:line="240" w:lineRule="auto"/>
        <w:ind w:right="1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Fonte: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Elaborado pelo autor (2022)</w:t>
      </w:r>
      <w:r w:rsidR="00FE1EB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46843CF" w14:textId="77777777" w:rsidR="00124ADB" w:rsidRDefault="00AA6534" w:rsidP="00F404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Nesta etapa, ocorrida em ambiente totalmente digital, percebe-se outra funcionalidade do sistema que permite a criação de documentos do tipo ‘Processo’. Nele, é possível realizar a juntada de expedientes de modo que dê origem à prestação de contas conforme preconizado na SGM-301.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 o detalhamento dos procedimentos, destaca-se que a prestação de contas em meio digital encontra suporte em dois requisitos fundamentais: a necessidade dos militares envolvidos de terem o certificado ICP-Brasil e das OM estarem com a nova versão do SiGDEM 2.0.6.0.</w:t>
      </w:r>
      <w:bookmarkStart w:id="3" w:name="_amfz9dk3ky9s"/>
      <w:bookmarkEnd w:id="3"/>
    </w:p>
    <w:p w14:paraId="346843D0" w14:textId="77777777" w:rsidR="00F27E51" w:rsidRDefault="00F27E51" w:rsidP="00F404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3D1" w14:textId="77777777" w:rsidR="00124ADB" w:rsidRDefault="00AA6534">
      <w:pPr>
        <w:pStyle w:val="Ttulo1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 ESCOLHA DE VARIÁVEIS E CATEGORIAS DE ANÁLISE</w:t>
      </w:r>
    </w:p>
    <w:p w14:paraId="346843D2" w14:textId="77777777" w:rsidR="00124ADB" w:rsidRDefault="00124ADB"/>
    <w:p w14:paraId="346843D3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Conforme abordado anteriormente, motivado em atingir o segundo objetivo específico deste trabalho, foi elaborado um questionário e enviado às OM que realizam comprovação em meio físico. Desta forma, foi possível identificar qual a perspectiva do usuário quanto aos benefícios que uma prestação digital pode gerar. </w:t>
      </w:r>
    </w:p>
    <w:p w14:paraId="346843D4" w14:textId="77777777" w:rsidR="0050647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sua elaboração, baseou-se em uma abordagem </w:t>
      </w:r>
      <w:r w:rsidR="00BB1234">
        <w:rPr>
          <w:rFonts w:ascii="Times New Roman" w:eastAsia="Times New Roman" w:hAnsi="Times New Roman" w:cs="Times New Roman"/>
          <w:i/>
          <w:sz w:val="24"/>
          <w:szCs w:val="24"/>
        </w:rPr>
        <w:t>desing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hinking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onde </w:t>
      </w:r>
      <w:r w:rsidR="00733FBE">
        <w:rPr>
          <w:rFonts w:ascii="Times New Roman" w:eastAsia="Times New Roman" w:hAnsi="Times New Roman" w:cs="Times New Roman"/>
          <w:sz w:val="24"/>
          <w:szCs w:val="24"/>
        </w:rPr>
        <w:t>se procura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realizar a exploração centrada no ser humano, usuário, e sua importância para atingir a inovação, gerando assim, benefícios ao processo (BROW, 2020).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3D5" w14:textId="77777777" w:rsidR="00124ADB" w:rsidRDefault="005064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7B">
        <w:rPr>
          <w:rFonts w:ascii="Times New Roman" w:eastAsia="Times New Roman" w:hAnsi="Times New Roman" w:cs="Times New Roman"/>
          <w:sz w:val="24"/>
          <w:szCs w:val="24"/>
        </w:rPr>
        <w:t xml:space="preserve">Uma abordagem </w:t>
      </w:r>
      <w:r w:rsidRPr="0050647B">
        <w:rPr>
          <w:rFonts w:ascii="Times New Roman" w:eastAsia="Times New Roman" w:hAnsi="Times New Roman" w:cs="Times New Roman"/>
          <w:i/>
          <w:iCs/>
          <w:sz w:val="24"/>
          <w:szCs w:val="24"/>
        </w:rPr>
        <w:t>design thinking</w:t>
      </w:r>
      <w:r w:rsidRPr="0050647B">
        <w:rPr>
          <w:rFonts w:ascii="Times New Roman" w:eastAsia="Times New Roman" w:hAnsi="Times New Roman" w:cs="Times New Roman"/>
          <w:sz w:val="24"/>
          <w:szCs w:val="24"/>
        </w:rPr>
        <w:t xml:space="preserve"> requer que a administração se aprofunde no entendimento das condições, situações e necessidades dos usuários, esforçando-se para ver o mundo nos olhos deles. Digitalizar o processo apenas por digitalizar não deve ser sua motivação e sim seu usuário (BASON; AUSTIN, 2019).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6534">
        <w:rPr>
          <w:rFonts w:ascii="Times New Roman" w:eastAsia="Times New Roman" w:hAnsi="Times New Roman" w:cs="Times New Roman"/>
          <w:sz w:val="24"/>
          <w:szCs w:val="24"/>
        </w:rPr>
        <w:br/>
      </w:r>
      <w:r w:rsidR="00AA6534">
        <w:rPr>
          <w:rFonts w:ascii="Times New Roman" w:eastAsia="Times New Roman" w:hAnsi="Times New Roman" w:cs="Times New Roman"/>
          <w:sz w:val="24"/>
          <w:szCs w:val="24"/>
        </w:rPr>
        <w:tab/>
        <w:t>Segundo Brow (2022), ao identificar os anseios gerados pelos usuários e incluí-los na estruturação de novos processos, gera-se mais benefícios para a instituição. O autor destaca que alterar algum processo não significa que foi melhorado, deve-se observar qual melhoria ele gerou para o usuário daquele serviço.</w:t>
      </w:r>
    </w:p>
    <w:p w14:paraId="346843D6" w14:textId="6B5C1AF5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Quando perguntados sobre quais os benefícios esperados caso </w:t>
      </w:r>
      <w:r w:rsidR="00B22BAB">
        <w:rPr>
          <w:rFonts w:ascii="Times New Roman" w:eastAsia="Times New Roman" w:hAnsi="Times New Roman" w:cs="Times New Roman"/>
          <w:sz w:val="24"/>
          <w:szCs w:val="24"/>
        </w:rPr>
        <w:t>o processo da prestação ocorresse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maneira digital, observa</w:t>
      </w:r>
      <w:r w:rsidR="00143C1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-se os seguintes apontamentos:</w:t>
      </w:r>
    </w:p>
    <w:p w14:paraId="346843D7" w14:textId="77777777" w:rsidR="00B85670" w:rsidRPr="006E2199" w:rsidRDefault="00B8567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18473348"/>
    </w:p>
    <w:p w14:paraId="346843D8" w14:textId="09139E94" w:rsidR="00124ADB" w:rsidRPr="006E2199" w:rsidRDefault="00AA653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CC75CA"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abela 1</w:t>
      </w:r>
      <w:r w:rsidR="00DC2C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CC75CA"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rincipais apontamentos do questionário</w:t>
      </w:r>
    </w:p>
    <w:tbl>
      <w:tblPr>
        <w:tblW w:w="9007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03"/>
        <w:gridCol w:w="4504"/>
      </w:tblGrid>
      <w:tr w:rsidR="00124ADB" w14:paraId="346843DB" w14:textId="77777777" w:rsidTr="00B85670">
        <w:trPr>
          <w:trHeight w:val="259"/>
          <w:jc w:val="center"/>
        </w:trPr>
        <w:tc>
          <w:tcPr>
            <w:tcW w:w="45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46843D9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Apontamento</w:t>
            </w:r>
          </w:p>
        </w:tc>
        <w:tc>
          <w:tcPr>
            <w:tcW w:w="450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46843DA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Frequência nas respostas</w:t>
            </w:r>
          </w:p>
        </w:tc>
      </w:tr>
      <w:tr w:rsidR="00124ADB" w14:paraId="346843DE" w14:textId="77777777" w:rsidTr="00E1505B">
        <w:trPr>
          <w:trHeight w:val="259"/>
          <w:jc w:val="center"/>
        </w:trPr>
        <w:tc>
          <w:tcPr>
            <w:tcW w:w="4503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843DC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Celeridade no processo</w:t>
            </w:r>
          </w:p>
        </w:tc>
        <w:tc>
          <w:tcPr>
            <w:tcW w:w="45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843DD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124ADB" w14:paraId="346843E1" w14:textId="77777777" w:rsidTr="00E1505B">
        <w:trPr>
          <w:trHeight w:val="259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346843DF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Economia de papel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346843E0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124ADB" w14:paraId="346843E4" w14:textId="77777777" w:rsidTr="00E1505B">
        <w:trPr>
          <w:trHeight w:val="269"/>
          <w:jc w:val="center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346843E2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Rastreabilidade das notas</w:t>
            </w:r>
            <w:r w:rsidR="00A3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fiscais</w:t>
            </w:r>
          </w:p>
        </w:tc>
        <w:tc>
          <w:tcPr>
            <w:tcW w:w="4504" w:type="dxa"/>
            <w:shd w:val="clear" w:color="auto" w:fill="F2F2F2" w:themeFill="background1" w:themeFillShade="F2"/>
            <w:vAlign w:val="center"/>
          </w:tcPr>
          <w:p w14:paraId="346843E3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124ADB" w14:paraId="346843E7" w14:textId="77777777" w:rsidTr="00E1505B">
        <w:trPr>
          <w:trHeight w:val="279"/>
          <w:jc w:val="center"/>
        </w:trPr>
        <w:tc>
          <w:tcPr>
            <w:tcW w:w="45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6843E5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Economia de espaço físico</w:t>
            </w:r>
          </w:p>
        </w:tc>
        <w:tc>
          <w:tcPr>
            <w:tcW w:w="450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6843E6" w14:textId="77777777" w:rsidR="00124ADB" w:rsidRDefault="00AA6534" w:rsidP="00E150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346843E8" w14:textId="0BEA1C01" w:rsidR="00124ADB" w:rsidRDefault="00AA653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Fonte: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Elaborado pelo autor</w:t>
      </w:r>
      <w:bookmarkEnd w:id="4"/>
      <w:r w:rsidR="00B22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46843E9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3EA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 neste contexto, ao serem perguntados sobre desvantagens esperadas com a digitalização, 65% afirmaram não identificar desvantagens sobre o procedimento, entretanto, apontamentos relevantes sobre a necessidade da emissão do certificado para a assinatura serve</w:t>
      </w:r>
      <w:r w:rsidR="009B10A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alerta para possíveis riscos na condução do processo. </w:t>
      </w:r>
    </w:p>
    <w:p w14:paraId="346843EB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 aspecto apontado pelos militares é a necessidade de ampliação dos servidores de dados da OM. Alguns respondentes acreditam que a grande quantidade de dados poderá inviabilizar a realização de processos digitais na MB.</w:t>
      </w:r>
    </w:p>
    <w:p w14:paraId="346843EC" w14:textId="77777777" w:rsidR="00B85670" w:rsidRDefault="00AA6534" w:rsidP="00CC75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Desta maneira, com foco nos militares envolvidos na comprovação de execução financeira, seus apontamentos foram definidos como variáveis de análise. Segundo Gil (2002), a escolha de variáveis auxilia o pesquisador a conferir precisão nos enunciados científicos. </w:t>
      </w:r>
    </w:p>
    <w:p w14:paraId="346843ED" w14:textId="77777777" w:rsidR="00E400D1" w:rsidRDefault="00E400D1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EE" w14:textId="77777777" w:rsidR="00A37A90" w:rsidRDefault="00A37A9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EF" w14:textId="77777777" w:rsidR="00A37A90" w:rsidRDefault="00A37A9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F0" w14:textId="77777777" w:rsidR="00A37A90" w:rsidRDefault="00A37A9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F1" w14:textId="77777777" w:rsidR="00A37A90" w:rsidRDefault="00A37A9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F2" w14:textId="77777777" w:rsidR="00A37A90" w:rsidRDefault="00A37A9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F3" w14:textId="77777777" w:rsidR="00A37A90" w:rsidRDefault="00A37A9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F4" w14:textId="77777777" w:rsidR="00A37A90" w:rsidRDefault="00A37A9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843F5" w14:textId="50B75A7F" w:rsidR="00124ADB" w:rsidRPr="006E2199" w:rsidRDefault="00AA653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 w:rsidR="00CC75CA"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uadro</w:t>
      </w:r>
      <w:r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</w:t>
      </w:r>
      <w:r w:rsidR="00DC2C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 w:rsidR="00CC75CA"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ariáveis de análise</w:t>
      </w:r>
    </w:p>
    <w:tbl>
      <w:tblPr>
        <w:tblStyle w:val="TabeladeLista41"/>
        <w:tblW w:w="8889" w:type="dxa"/>
        <w:jc w:val="center"/>
        <w:tblLayout w:type="fixed"/>
        <w:tblLook w:val="0600" w:firstRow="0" w:lastRow="0" w:firstColumn="0" w:lastColumn="0" w:noHBand="1" w:noVBand="1"/>
      </w:tblPr>
      <w:tblGrid>
        <w:gridCol w:w="8889"/>
      </w:tblGrid>
      <w:tr w:rsidR="00124ADB" w14:paraId="346843F7" w14:textId="77777777" w:rsidTr="00CC75CA">
        <w:trPr>
          <w:trHeight w:val="292"/>
          <w:jc w:val="center"/>
        </w:trPr>
        <w:tc>
          <w:tcPr>
            <w:tcW w:w="8889" w:type="dxa"/>
            <w:shd w:val="clear" w:color="auto" w:fill="D9D9D9" w:themeFill="background1" w:themeFillShade="D9"/>
          </w:tcPr>
          <w:p w14:paraId="346843F6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</w:tr>
      <w:tr w:rsidR="00124ADB" w14:paraId="346843F9" w14:textId="77777777" w:rsidTr="00CC75CA">
        <w:trPr>
          <w:trHeight w:val="292"/>
          <w:jc w:val="center"/>
        </w:trPr>
        <w:tc>
          <w:tcPr>
            <w:tcW w:w="8889" w:type="dxa"/>
          </w:tcPr>
          <w:p w14:paraId="346843F8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Celeridade no processo</w:t>
            </w:r>
          </w:p>
        </w:tc>
      </w:tr>
      <w:tr w:rsidR="00124ADB" w14:paraId="346843FB" w14:textId="77777777" w:rsidTr="00CC75CA">
        <w:trPr>
          <w:trHeight w:val="292"/>
          <w:jc w:val="center"/>
        </w:trPr>
        <w:tc>
          <w:tcPr>
            <w:tcW w:w="8889" w:type="dxa"/>
          </w:tcPr>
          <w:p w14:paraId="346843FA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Economia de papel</w:t>
            </w:r>
          </w:p>
        </w:tc>
      </w:tr>
      <w:tr w:rsidR="00124ADB" w14:paraId="346843FD" w14:textId="77777777" w:rsidTr="00CC75CA">
        <w:trPr>
          <w:trHeight w:val="304"/>
          <w:jc w:val="center"/>
        </w:trPr>
        <w:tc>
          <w:tcPr>
            <w:tcW w:w="8889" w:type="dxa"/>
          </w:tcPr>
          <w:p w14:paraId="346843FC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Rastreabilidade das notas</w:t>
            </w:r>
            <w:r w:rsidR="00A3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fiscais</w:t>
            </w:r>
          </w:p>
        </w:tc>
      </w:tr>
      <w:tr w:rsidR="00124ADB" w14:paraId="346843FF" w14:textId="77777777" w:rsidTr="00CC75CA">
        <w:trPr>
          <w:trHeight w:val="316"/>
          <w:jc w:val="center"/>
        </w:trPr>
        <w:tc>
          <w:tcPr>
            <w:tcW w:w="8889" w:type="dxa"/>
          </w:tcPr>
          <w:p w14:paraId="346843FE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Economia de espaço físico</w:t>
            </w:r>
          </w:p>
        </w:tc>
      </w:tr>
      <w:tr w:rsidR="00124ADB" w14:paraId="34684401" w14:textId="77777777" w:rsidTr="00CC75CA">
        <w:trPr>
          <w:trHeight w:val="292"/>
          <w:jc w:val="center"/>
        </w:trPr>
        <w:tc>
          <w:tcPr>
            <w:tcW w:w="8889" w:type="dxa"/>
          </w:tcPr>
          <w:p w14:paraId="34684400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Capacidade dos servidores de dados</w:t>
            </w:r>
          </w:p>
        </w:tc>
      </w:tr>
      <w:tr w:rsidR="00124ADB" w14:paraId="34684403" w14:textId="77777777" w:rsidTr="00CC75CA">
        <w:trPr>
          <w:trHeight w:val="292"/>
          <w:jc w:val="center"/>
        </w:trPr>
        <w:tc>
          <w:tcPr>
            <w:tcW w:w="8889" w:type="dxa"/>
          </w:tcPr>
          <w:p w14:paraId="34684402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Eletrônica</w:t>
            </w:r>
          </w:p>
        </w:tc>
      </w:tr>
    </w:tbl>
    <w:p w14:paraId="34684404" w14:textId="74B807C8" w:rsidR="00124ADB" w:rsidRDefault="00AA653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Fonte: </w:t>
      </w:r>
      <w:r>
        <w:rPr>
          <w:rFonts w:ascii="Times New Roman" w:eastAsia="Times New Roman" w:hAnsi="Times New Roman" w:cs="Times New Roman"/>
          <w:sz w:val="18"/>
          <w:szCs w:val="18"/>
        </w:rPr>
        <w:t>Elaborado pelo autor</w:t>
      </w:r>
      <w:r w:rsidR="007E290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4684405" w14:textId="77777777" w:rsidR="00124ADB" w:rsidRDefault="00124AD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406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análise de cada variável foi realizada dentro de categorias definidas com base na Estratégia Brasileira de Transformação Digital (E-Digital), documento que busca coordenar as diversas iniciativas governamentais ligadas ao tema (BRASIL,</w:t>
      </w:r>
      <w:r w:rsidR="00C85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2018).</w:t>
      </w:r>
    </w:p>
    <w:p w14:paraId="34684407" w14:textId="2517A5F6" w:rsidR="00CC75CA" w:rsidRDefault="00AA6534" w:rsidP="00CC75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 no E-Digital, estão </w:t>
      </w:r>
      <w:r w:rsidR="00C857BB">
        <w:rPr>
          <w:rFonts w:ascii="Times New Roman" w:eastAsia="Times New Roman" w:hAnsi="Times New Roman" w:cs="Times New Roman"/>
          <w:sz w:val="24"/>
          <w:szCs w:val="24"/>
        </w:rPr>
        <w:t>os eixos no</w:t>
      </w:r>
      <w:r>
        <w:rPr>
          <w:rFonts w:ascii="Times New Roman" w:eastAsia="Times New Roman" w:hAnsi="Times New Roman" w:cs="Times New Roman"/>
          <w:sz w:val="24"/>
          <w:szCs w:val="24"/>
        </w:rPr>
        <w:t>s quais o documento foi pautado</w:t>
      </w:r>
      <w:r w:rsidR="00C857BB">
        <w:rPr>
          <w:rFonts w:ascii="Times New Roman" w:eastAsia="Times New Roman" w:hAnsi="Times New Roman" w:cs="Times New Roman"/>
          <w:sz w:val="24"/>
          <w:szCs w:val="24"/>
        </w:rPr>
        <w:t xml:space="preserve">. 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eixos de transformação digital proporcionarão ganhos para todos os cidadãos, </w:t>
      </w:r>
      <w:r w:rsidR="007E2909">
        <w:rPr>
          <w:rFonts w:ascii="Times New Roman" w:eastAsia="Times New Roman" w:hAnsi="Times New Roman" w:cs="Times New Roman"/>
          <w:sz w:val="24"/>
          <w:szCs w:val="24"/>
        </w:rPr>
        <w:t>enquanto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eixos habilitadores fornecerão a base para viabilizar a transformação digital (BRASIL, 2018).</w:t>
      </w:r>
    </w:p>
    <w:p w14:paraId="34684408" w14:textId="77777777" w:rsidR="00CC75CA" w:rsidRDefault="00CC75CA" w:rsidP="00CC75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409" w14:textId="17469075" w:rsidR="00124ADB" w:rsidRPr="006E2199" w:rsidRDefault="00CC75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19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346844AD" wp14:editId="346844AE">
            <wp:simplePos x="0" y="0"/>
            <wp:positionH relativeFrom="column">
              <wp:posOffset>15240</wp:posOffset>
            </wp:positionH>
            <wp:positionV relativeFrom="paragraph">
              <wp:posOffset>194310</wp:posOffset>
            </wp:positionV>
            <wp:extent cx="5657850" cy="2098040"/>
            <wp:effectExtent l="19050" t="19050" r="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9804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 w:rsidR="00AA6534" w:rsidRPr="006E2199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>igura 4</w:t>
      </w:r>
      <w:r w:rsidR="00DC2C32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AA6534" w:rsidRPr="006E2199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6E2199">
        <w:rPr>
          <w:rFonts w:ascii="Times New Roman" w:eastAsia="Times New Roman" w:hAnsi="Times New Roman" w:cs="Times New Roman"/>
          <w:b/>
          <w:sz w:val="20"/>
          <w:szCs w:val="20"/>
        </w:rPr>
        <w:t>ixos habilitadores da transformação digital</w:t>
      </w:r>
    </w:p>
    <w:p w14:paraId="3468440A" w14:textId="77777777" w:rsidR="00CC75CA" w:rsidRDefault="00CC75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68440B" w14:textId="62015C00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Fonte</w:t>
      </w:r>
      <w:r>
        <w:rPr>
          <w:rFonts w:ascii="Times New Roman" w:eastAsia="Times New Roman" w:hAnsi="Times New Roman" w:cs="Times New Roman"/>
          <w:sz w:val="18"/>
          <w:szCs w:val="18"/>
        </w:rPr>
        <w:t>: Estratégia Brasileira de Transformação Digital (2018)</w:t>
      </w:r>
      <w:r w:rsidR="007E290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468440C" w14:textId="77777777" w:rsidR="00124ADB" w:rsidRDefault="00124AD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40D" w14:textId="77777777" w:rsidR="00124ADB" w:rsidRDefault="00AA6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Desta forma, as análises serão feitas em quatro categorias adaptadas dos eixos habilitadores: </w:t>
      </w:r>
      <w:r>
        <w:rPr>
          <w:rFonts w:ascii="Times New Roman" w:eastAsia="Times New Roman" w:hAnsi="Times New Roman" w:cs="Times New Roman"/>
          <w:bCs/>
          <w:color w:val="202124"/>
          <w:sz w:val="24"/>
          <w:szCs w:val="24"/>
          <w:highlight w:val="white"/>
        </w:rPr>
        <w:t>Infraestrutura e acesso às TICs; Pesquisa, Desenvolvimento e Inovação; Confiança e Cultura no Ambiente Digital. As categorias selecionadas</w:t>
      </w:r>
      <w:r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  <w:t xml:space="preserve"> foram adaptadas conforme observações do autor quanto à relação do eixo com o processo de prestação de contas e as entrevistas aplicadas.</w:t>
      </w:r>
    </w:p>
    <w:p w14:paraId="3468440E" w14:textId="11F81A4D" w:rsidR="00124ADB" w:rsidRDefault="00AA6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Dentro de cada categoria</w:t>
      </w:r>
      <w:r w:rsidR="007E2909">
        <w:rPr>
          <w:rFonts w:ascii="Times New Roman" w:eastAsia="Times New Roman" w:hAnsi="Times New Roman" w:cs="Times New Roman"/>
          <w:color w:val="2021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foram analisadas as variáveis definidas de forma a confrontar a experiência do usuário da comprovação digital com o da física. </w:t>
      </w:r>
    </w:p>
    <w:p w14:paraId="3468440F" w14:textId="77777777" w:rsidR="00B829B9" w:rsidRDefault="00B829B9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0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1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2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3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4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5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6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7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8" w14:textId="77777777" w:rsidR="00E73784" w:rsidRDefault="00E73784">
      <w:pPr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684419" w14:textId="092093ED" w:rsidR="00124ADB" w:rsidRPr="006E2199" w:rsidRDefault="00AA653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Quadro 3</w:t>
      </w:r>
      <w:r w:rsidR="00DC2C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Pr="006E2199">
        <w:rPr>
          <w:rFonts w:ascii="Times New Roman" w:eastAsia="Times New Roman" w:hAnsi="Times New Roman" w:cs="Times New Roman"/>
          <w:b/>
          <w:bCs/>
          <w:sz w:val="20"/>
          <w:szCs w:val="20"/>
        </w:rPr>
        <w:t>Apontamentos por categoria</w:t>
      </w:r>
    </w:p>
    <w:tbl>
      <w:tblPr>
        <w:tblW w:w="8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72"/>
        <w:gridCol w:w="4470"/>
      </w:tblGrid>
      <w:tr w:rsidR="00124ADB" w14:paraId="3468441C" w14:textId="77777777" w:rsidTr="009B71C2">
        <w:trPr>
          <w:trHeight w:val="256"/>
        </w:trPr>
        <w:tc>
          <w:tcPr>
            <w:tcW w:w="4272" w:type="dxa"/>
            <w:shd w:val="clear" w:color="auto" w:fill="D9D9D9" w:themeFill="background1" w:themeFillShade="D9"/>
          </w:tcPr>
          <w:p w14:paraId="3468441A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14:paraId="3468441B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Apontamento</w:t>
            </w:r>
          </w:p>
        </w:tc>
      </w:tr>
      <w:tr w:rsidR="00124ADB" w14:paraId="3468441F" w14:textId="77777777" w:rsidTr="009B71C2">
        <w:trPr>
          <w:trHeight w:val="256"/>
        </w:trPr>
        <w:tc>
          <w:tcPr>
            <w:tcW w:w="4272" w:type="dxa"/>
            <w:shd w:val="clear" w:color="auto" w:fill="auto"/>
          </w:tcPr>
          <w:p w14:paraId="3468441D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</w:rPr>
              <w:t>Infraestrutura e acesso às TICs</w:t>
            </w:r>
          </w:p>
        </w:tc>
        <w:tc>
          <w:tcPr>
            <w:tcW w:w="4470" w:type="dxa"/>
            <w:shd w:val="clear" w:color="auto" w:fill="auto"/>
          </w:tcPr>
          <w:p w14:paraId="3468441E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Capacidade dos servidores de dados</w:t>
            </w:r>
          </w:p>
        </w:tc>
      </w:tr>
      <w:tr w:rsidR="00124ADB" w14:paraId="34684422" w14:textId="77777777" w:rsidTr="009B71C2">
        <w:trPr>
          <w:trHeight w:val="256"/>
        </w:trPr>
        <w:tc>
          <w:tcPr>
            <w:tcW w:w="4272" w:type="dxa"/>
            <w:vMerge w:val="restart"/>
            <w:shd w:val="clear" w:color="auto" w:fill="auto"/>
            <w:vAlign w:val="center"/>
          </w:tcPr>
          <w:p w14:paraId="34684420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</w:rPr>
              <w:t>Pesquisa, Desenvolvimento e Inovação</w:t>
            </w:r>
          </w:p>
        </w:tc>
        <w:tc>
          <w:tcPr>
            <w:tcW w:w="4470" w:type="dxa"/>
            <w:shd w:val="clear" w:color="auto" w:fill="auto"/>
          </w:tcPr>
          <w:p w14:paraId="34684421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Economia de papel</w:t>
            </w:r>
          </w:p>
        </w:tc>
      </w:tr>
      <w:tr w:rsidR="00124ADB" w14:paraId="34684425" w14:textId="77777777" w:rsidTr="009B71C2">
        <w:trPr>
          <w:trHeight w:val="266"/>
        </w:trPr>
        <w:tc>
          <w:tcPr>
            <w:tcW w:w="4272" w:type="dxa"/>
            <w:vMerge/>
            <w:shd w:val="clear" w:color="auto" w:fill="auto"/>
          </w:tcPr>
          <w:p w14:paraId="34684423" w14:textId="77777777" w:rsidR="00124ADB" w:rsidRDefault="00124A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34684424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Celeridade no processo</w:t>
            </w:r>
          </w:p>
        </w:tc>
      </w:tr>
      <w:tr w:rsidR="00124ADB" w14:paraId="34684428" w14:textId="77777777" w:rsidTr="009B71C2">
        <w:trPr>
          <w:trHeight w:val="276"/>
        </w:trPr>
        <w:tc>
          <w:tcPr>
            <w:tcW w:w="4272" w:type="dxa"/>
            <w:vMerge/>
            <w:shd w:val="clear" w:color="auto" w:fill="auto"/>
          </w:tcPr>
          <w:p w14:paraId="34684426" w14:textId="77777777" w:rsidR="00124ADB" w:rsidRDefault="00124A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34684427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Rastreabilidade das notas</w:t>
            </w:r>
            <w:r w:rsidR="00A3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fiscais</w:t>
            </w:r>
          </w:p>
        </w:tc>
      </w:tr>
      <w:tr w:rsidR="00124ADB" w14:paraId="3468442B" w14:textId="77777777" w:rsidTr="009B71C2">
        <w:trPr>
          <w:trHeight w:val="256"/>
        </w:trPr>
        <w:tc>
          <w:tcPr>
            <w:tcW w:w="4272" w:type="dxa"/>
            <w:vMerge/>
            <w:shd w:val="clear" w:color="auto" w:fill="auto"/>
          </w:tcPr>
          <w:p w14:paraId="34684429" w14:textId="77777777" w:rsidR="00124ADB" w:rsidRDefault="00124A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</w:tcPr>
          <w:p w14:paraId="3468442A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Economia de espaço físico</w:t>
            </w:r>
          </w:p>
        </w:tc>
      </w:tr>
      <w:tr w:rsidR="00124ADB" w14:paraId="3468442E" w14:textId="77777777" w:rsidTr="009B71C2">
        <w:trPr>
          <w:trHeight w:val="256"/>
        </w:trPr>
        <w:tc>
          <w:tcPr>
            <w:tcW w:w="4272" w:type="dxa"/>
            <w:shd w:val="clear" w:color="auto" w:fill="auto"/>
          </w:tcPr>
          <w:p w14:paraId="3468442C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</w:rPr>
              <w:t>Confiança e Cultura no Ambiente Digital</w:t>
            </w:r>
          </w:p>
        </w:tc>
        <w:tc>
          <w:tcPr>
            <w:tcW w:w="4470" w:type="dxa"/>
            <w:shd w:val="clear" w:color="auto" w:fill="auto"/>
          </w:tcPr>
          <w:p w14:paraId="3468442D" w14:textId="77777777" w:rsidR="00124ADB" w:rsidRDefault="00AA65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1848180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Eletrônica</w:t>
            </w:r>
            <w:bookmarkEnd w:id="5"/>
          </w:p>
        </w:tc>
      </w:tr>
    </w:tbl>
    <w:p w14:paraId="3468442F" w14:textId="7A4D3C6A" w:rsidR="00124ADB" w:rsidRDefault="00AA653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Fonte: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Elaborado pelo autor</w:t>
      </w:r>
      <w:r w:rsidR="007E290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4684430" w14:textId="77777777" w:rsidR="00E400D1" w:rsidRDefault="00E400D1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</w:p>
    <w:p w14:paraId="34684431" w14:textId="77777777" w:rsidR="00124ADB" w:rsidRDefault="00140968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4.3</w:t>
      </w:r>
      <w:r w:rsidR="00AA6534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.1 Infraestrutura e acesso às TICs</w:t>
      </w:r>
    </w:p>
    <w:p w14:paraId="34684432" w14:textId="77777777" w:rsidR="00124ADB" w:rsidRDefault="00124ADB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</w:p>
    <w:p w14:paraId="34684433" w14:textId="72A644FE" w:rsidR="00DA469A" w:rsidRDefault="00AA6534" w:rsidP="001A305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Esta categoria tinha como principal objetivo entender de que forma as infraestruturas de TICS se relacionam com o tema.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Um ponto abordado pelos entrevistados do CLogMat é a lentidão no sistema devido a necessidade de arquivamento de muitos processos, algo que o servidor atual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da OM não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suporta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DC2C3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Neste sentido, percebe-se que ocorre alinhamento entre a perspectiva dos usuários da comprovação física com o que está ocorrendo com a da digital.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>Para Brennen (2016), seria um erro ignorar o fato de que a informação digital é armazenada e comunicada por meio de configurações de materiais físicos. Gouveia (2014) destaca que não apenas devem ser analisados os potenciais ganhos referentes à transformação digital, mas também, pensar os investimentos necessários na área de infraestrutura de TIC.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Albertini alerta (2021) que a pandemia da </w:t>
      </w:r>
      <w:r w:rsidR="007E290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covid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-19 mostrou que grande parte das organizações não tinham estruturas nem o acesso necessário para a transformação digital, entretanto, complementa que o investimento ativo em uma estrutura de TIC é fundamental para sedimentar o processo de transformação digital.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</w:p>
    <w:p w14:paraId="34684434" w14:textId="77777777" w:rsidR="00124ADB" w:rsidRDefault="00AA653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Diante das argumentações apresentadas, existem grandes indícios de que antes mesmo de se iniciar a implementação de processos digitais no âmbito da MB, é necessário a quantificação das necessidades de infraestrutura de TIC para operacionalização desta cinemática.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</w:p>
    <w:p w14:paraId="34684435" w14:textId="77777777" w:rsidR="00124ADB" w:rsidRDefault="001409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4.3</w:t>
      </w:r>
      <w:r w:rsidR="00BB0A71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.2 Pesquisa, desenvolvimento e i</w:t>
      </w:r>
      <w:r w:rsidR="00AA6534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novação</w:t>
      </w:r>
    </w:p>
    <w:p w14:paraId="34684436" w14:textId="77777777" w:rsidR="00124ADB" w:rsidRDefault="00124AD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</w:p>
    <w:p w14:paraId="34684437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Quando perguntados sobre o que acreditam ser uma transformação digital, a maioria dos entrevistados apontou sobre a redução de papel em seus processos. Realizando um paralelo com o questionário aplicado, no qual foi perguntado quantas páginas, em média, a prestação de contas da OM possui, observou-se valores surpreendentes como 7.000, 7.500 e até mesmo 9.000.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>Realizando uma conversão para folhas, ou seja, a metade das páginas, uma comprovação de 9.000 páginas usa, anualmente, 54.000 folhas. Ao consultar o Painel de Preços do Governo Federal², constata-se que o preço médio, pago pela administração pública, em uma resma de papel é de R$ 26,00. Sendo assim, uma prestação de contas desta magnitude, gasta, somente de papel, R$ 2.700,00 ao ano.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</w:p>
    <w:p w14:paraId="34684438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Nas entrevistas, foi possível identificar que ocorreu uma redução significativa do uso do papel para a confecção da comprovação.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>Além disso, a digitalização atingiu outros processos internos como pedido de férias, ata de reuniões, requerimentos de licença ou aviso de férias no exterior.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</w:p>
    <w:p w14:paraId="34684439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Segundo o entusiasta e empresário norte americano Bill Gates (1995</w:t>
      </w:r>
      <w:r w:rsidR="00BB0A7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p.</w:t>
      </w:r>
      <w:r w:rsidR="00470DFC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 w:rsidR="00296E96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175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), o papel terá</w:t>
      </w:r>
      <w:r w:rsidR="00BB0A7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cada vez menos importância no que tange a disseminação e armazenamento de informação:</w:t>
      </w:r>
    </w:p>
    <w:p w14:paraId="3468443A" w14:textId="77777777" w:rsidR="00124ADB" w:rsidRDefault="00AA6534">
      <w:pPr>
        <w:spacing w:before="240" w:after="240" w:line="240" w:lineRule="auto"/>
        <w:ind w:left="2267" w:right="120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 xml:space="preserve">O papel estará conosco infinitamente, mas sua importância como meio de encontrar, preservar e distribuir informação já está diminuindo. </w:t>
      </w:r>
      <w:r w:rsidR="00CA0912"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[...] à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 xml:space="preserve"> medida que os documentos ficarem mais flexíveis, mais ricos de conteúdo de multimídia e menos presos ao papel, as formas de colaboração e comunicação entre as pessoas se tornarão mais ricas e menos amarradas ao local onde estão instaladas.</w:t>
      </w:r>
    </w:p>
    <w:p w14:paraId="3468443B" w14:textId="77777777" w:rsidR="00124ADB" w:rsidRDefault="00AA6534">
      <w:pPr>
        <w:spacing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Outro ponto de destaque é quanto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agilidade dos processos. Apontado por 78% dos respondentes do questionário, fez-se presente também nas entrevistas aos Oficiais do CLogMat. </w:t>
      </w:r>
      <w:r w:rsidR="008E3D5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 Agente Financeiro relatou na entrevista que o tempo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de conferência dos </w:t>
      </w:r>
      <w:r w:rsidR="00D44646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documentos melhorou e que observou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um ganho ainda maior quanto </w:t>
      </w:r>
      <w:r w:rsidR="008E3D5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à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localização de algum documento em comprovações anteriores. Onde antes o militar tinha que procurar de forma manual a localização da nota dentro dos processos de prestação de contas, hoje este procedimento ocorre de maneira imediata uma vez que aumentou sua rastreabilidade.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Conforme apontado por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Parviainen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(2017),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 transformação causa mudanças nas formas de trabalho pela adoção de tecnologias digitais em uma organização ou em seu ambiente de operação, promovendo agilidade nos processos e redução de etapas manuais.</w:t>
      </w:r>
    </w:p>
    <w:p w14:paraId="3468443C" w14:textId="77777777" w:rsidR="00124ADB" w:rsidRDefault="00AA6534">
      <w:pPr>
        <w:spacing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>Nenhum dos entrevistados apontou como vantagem a economia de espaço no CLogMat. Ao analisar o motivo, percebe-se que por se trat</w:t>
      </w:r>
      <w:r w:rsidR="003311CC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 de uma OM criada em 2020, ela</w:t>
      </w:r>
      <w:r w:rsidR="00C651DF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ainda não possui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 w:rsidR="00C651DF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grande volume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de processos arquivados. Sendo assim, tal variável ficou impossibilitada de ser confirmada nas entrevistas. </w:t>
      </w:r>
    </w:p>
    <w:p w14:paraId="3468443D" w14:textId="77777777" w:rsidR="00124ADB" w:rsidRDefault="00AA6534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</w:p>
    <w:p w14:paraId="3468443E" w14:textId="35BE1414" w:rsidR="00124ADB" w:rsidRDefault="00140968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4.3</w:t>
      </w:r>
      <w:r w:rsidR="00AA6534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.3 Confiança e </w:t>
      </w:r>
      <w:r w:rsidR="00836F77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cultura </w:t>
      </w:r>
      <w:r w:rsidR="00AA6534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no </w:t>
      </w:r>
      <w:r w:rsidR="00836F77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ambiente digital</w:t>
      </w:r>
    </w:p>
    <w:p w14:paraId="3468443F" w14:textId="77777777" w:rsidR="00124ADB" w:rsidRDefault="00124ADB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</w:p>
    <w:p w14:paraId="34684440" w14:textId="5815019B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Nesta categoria</w:t>
      </w:r>
      <w:r w:rsidR="006018D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pode-se perceber a existências de receios quanto ao uso das ferramentas digitais. Quando perguntados sobre as vantagens da digitalização do processo, alguns entrevistados e respondentes apontaram fatos como: “erros/falhas do sistema que podem prejudicar os arquivos”; “será que vai ficar guardado digitalmente ou vai dar algum tipo de erro impossibilitando abrir daqui a uns dois </w:t>
      </w:r>
      <w:r w:rsidR="00813B87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anos?</w:t>
      </w:r>
      <w:r w:rsidR="003274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”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; “Há sempre o risco de perda dos documentos caso ocorra uma falha digital”; e “Não me sinto totalmente seguro no que tange ao armazenamento de documentos de forma digital</w:t>
      </w:r>
      <w:r w:rsidR="003274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”. </w:t>
      </w:r>
      <w:r w:rsidR="003274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Um caminho para assegurar a confiança do uso das novas tecnologias que impulsionam a transformação digital é a demonstração de ganho de eficiência nos processos, desta forma, os usuários acreditam que toda mudança será incremental para suas vidas e na geração de resultados (BROW, 2020).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Entretanto, enquanto existir a insegurança constatada, permanece um fenômeno muito</w:t>
      </w:r>
      <w:r w:rsidR="00F27E5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comum em ambientes de trabalho: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a ideia </w:t>
      </w:r>
      <w:r w:rsidR="009B3F9F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de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que documentos existem somente quando são fisicamente palpáveis, </w:t>
      </w:r>
      <w:r w:rsidR="006018D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portanto,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impressos (SOUZA 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2004).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</w:p>
    <w:p w14:paraId="34684441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Este tipo </w:t>
      </w:r>
      <w:r w:rsidR="007909C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 desconfiança gera uma relação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incoerente. Conforme dados obtidos na revista O Papel, edição publicada em março de 2022, apesar da crescente evolução da transformação digital, observa-se crescimento no setor.</w:t>
      </w:r>
    </w:p>
    <w:p w14:paraId="34684442" w14:textId="77777777" w:rsidR="00124ADB" w:rsidRDefault="00124ADB">
      <w:pPr>
        <w:spacing w:line="240" w:lineRule="auto"/>
        <w:ind w:right="120" w:firstLine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34684443" w14:textId="3C188833" w:rsidR="00124ADB" w:rsidRDefault="00CA0912" w:rsidP="00CA0912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b/>
          <w:color w:val="202124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844AF" wp14:editId="346844B0">
            <wp:simplePos x="0" y="0"/>
            <wp:positionH relativeFrom="column">
              <wp:posOffset>-4445</wp:posOffset>
            </wp:positionH>
            <wp:positionV relativeFrom="paragraph">
              <wp:posOffset>161925</wp:posOffset>
            </wp:positionV>
            <wp:extent cx="5762625" cy="2209800"/>
            <wp:effectExtent l="0" t="0" r="0" b="0"/>
            <wp:wrapSquare wrapText="bothSides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534"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>F</w:t>
      </w:r>
      <w:r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>igura</w:t>
      </w:r>
      <w:r w:rsidR="00AA6534"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 xml:space="preserve"> 4</w:t>
      </w:r>
      <w:r w:rsidR="00DC2C32"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 xml:space="preserve"> – </w:t>
      </w:r>
      <w:r w:rsidR="00AA6534"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>E</w:t>
      </w:r>
      <w:r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>volução da produção brasileira de celulose</w:t>
      </w:r>
    </w:p>
    <w:p w14:paraId="34684444" w14:textId="142DEAB7" w:rsidR="00124ADB" w:rsidRDefault="00AA6534" w:rsidP="00CA0912">
      <w:pPr>
        <w:spacing w:line="240" w:lineRule="auto"/>
        <w:ind w:right="120"/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18"/>
          <w:szCs w:val="18"/>
          <w:highlight w:val="white"/>
        </w:rPr>
        <w:t>Fonte:</w:t>
      </w:r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Indicadores do setor de Árvores Plantadas</w:t>
      </w:r>
      <w:r w:rsidR="00DC2C32"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Revista O Papel</w:t>
      </w:r>
      <w:r w:rsidR="006018DE">
        <w:rPr>
          <w:rFonts w:ascii="Times New Roman" w:eastAsia="Times New Roman" w:hAnsi="Times New Roman" w:cs="Times New Roman"/>
          <w:color w:val="202124"/>
          <w:sz w:val="18"/>
          <w:szCs w:val="18"/>
          <w:highlight w:val="white"/>
        </w:rPr>
        <w:t>.</w:t>
      </w:r>
    </w:p>
    <w:p w14:paraId="34684445" w14:textId="77777777" w:rsidR="00124ADB" w:rsidRDefault="00124ADB">
      <w:pPr>
        <w:spacing w:line="240" w:lineRule="auto"/>
        <w:ind w:right="120" w:firstLine="720"/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</w:pPr>
    </w:p>
    <w:p w14:paraId="34684446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Outro aspecto de relevante importância apontado nas entrevistas é a </w:t>
      </w:r>
      <w:r w:rsidR="00177F3C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cultura digital. Segundo Almeida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(2019)</w:t>
      </w:r>
      <w:r w:rsidR="003B2D6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 transformação digital deve englobar, além da adoção da tecnologia, uma mudança de cultura. Para Monteiro (2020), é fundamental que os gestores públ</w:t>
      </w:r>
      <w:r w:rsidR="003B2D6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icos tenham uma cultura digital, ou seja, uma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mudança na forma de operar o governo, de entender os projetos, de posicionar os resultados.</w:t>
      </w:r>
    </w:p>
    <w:p w14:paraId="34684447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Segundo os entrevistados, tal fator não se faz presente na maioria dos militares envolvidos no processo de prestação de contas, por vezes, pode-se observar até mesmo uma resistência quanto ao uso das novas ferramentas digitais.</w:t>
      </w:r>
    </w:p>
    <w:p w14:paraId="34684448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34684449" w14:textId="40922E52" w:rsidR="00124ADB" w:rsidRDefault="00AA6534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Acredito que a grande dificuldade, como em qualquer mudança, é a resistência dos atuais gestores e fiéis em conduzir o processo de maneira diferente, abrindo mão do “sempre foi assim” e do que já estão acostumados.</w:t>
      </w:r>
      <w:r w:rsidR="00DC2C32"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(E2)</w:t>
      </w:r>
    </w:p>
    <w:p w14:paraId="3468444A" w14:textId="77777777" w:rsidR="00124ADB" w:rsidRDefault="00124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3468444B" w14:textId="77777777" w:rsidR="00124ADB" w:rsidRDefault="00AA6534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As maiores dificuldades enfrentadas dizem respeito à resistência à inovação. As pessoas ainda são muito resistentes às práticas atuais de tecnologia. No caso específico da comprovação de gestoria de material, vimos que não há dificuldades operacionais para ele. É até bem simples fazer a prestação de contas. Observamos que ganhamos tempo e agilidade no processo e segurança dos dados. </w:t>
      </w:r>
      <w:r w:rsidR="00E05941">
        <w:rPr>
          <w:rFonts w:ascii="Times New Roman" w:eastAsia="Times New Roman" w:hAnsi="Times New Roman" w:cs="Times New Roman"/>
          <w:color w:val="202124"/>
          <w:sz w:val="20"/>
          <w:szCs w:val="20"/>
        </w:rPr>
        <w:t>Além disso,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há uma resistência natural das pessoas a qualquer tipo de mudança o que nós estamos enfrentando com a demonstração de que a mudança traz benefícios práticos para a vida deles. (E3)</w:t>
      </w:r>
    </w:p>
    <w:p w14:paraId="3468444C" w14:textId="77777777" w:rsidR="00124ADB" w:rsidRDefault="00124ADB">
      <w:pPr>
        <w:shd w:val="clear" w:color="auto" w:fill="FFFFFF"/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3468444D" w14:textId="77777777" w:rsidR="00124ADB" w:rsidRDefault="006128A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Herbert (2017)</w:t>
      </w:r>
      <w:r w:rsidR="00AA6534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afirma que a tecnologia não é a maior barreira para a transformação digital. A resistência ao novo e a desconfiança em suas potencialidades formam um obstáculo nos usuários que retardam a transformação </w:t>
      </w:r>
      <w:r w:rsidR="00AA65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como um todo. </w:t>
      </w:r>
    </w:p>
    <w:p w14:paraId="3468444E" w14:textId="77777777" w:rsidR="00124ADB" w:rsidRDefault="00AA653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Brown (2020), a difusão centralizada de ideias inovadoras deixou de ser suficiente para os dias atuais, pois uma ideia transformadora, como o caso da digitalização de processos, precisa se difundir sozinha. Ainda segundo o autor, faz-se necessário que as organizações percebam os benefícios gerados pela digitalização para sua divulgação e aplicação total.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Por fim, destaca-se o apontamento de Monteiro (2020</w:t>
      </w:r>
      <w:r w:rsidR="003B72A6">
        <w:rPr>
          <w:rFonts w:ascii="Times New Roman" w:eastAsia="Times New Roman" w:hAnsi="Times New Roman" w:cs="Times New Roman"/>
          <w:sz w:val="24"/>
          <w:szCs w:val="24"/>
        </w:rPr>
        <w:t>, p. 2</w:t>
      </w:r>
      <w:r>
        <w:rPr>
          <w:rFonts w:ascii="Times New Roman" w:eastAsia="Times New Roman" w:hAnsi="Times New Roman" w:cs="Times New Roman"/>
          <w:sz w:val="24"/>
          <w:szCs w:val="24"/>
        </w:rPr>
        <w:t>), atual Secretário de Governo Digital do Ministério da Economia:</w:t>
      </w:r>
    </w:p>
    <w:p w14:paraId="3468444F" w14:textId="77777777" w:rsidR="00124ADB" w:rsidRDefault="00124AD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450" w14:textId="77777777" w:rsidR="00124ADB" w:rsidRDefault="00AA6534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transformação digital exige, em primeiro lugar, uma mentalidade digital nos gestores públicos, em especial os executivos de alto escalão. Para isso, nós estamos fazendo um trabalho constante de convencimento e esclarecimento de quais são os benefícios do negócio, o que o governo e o que o cidadão </w:t>
      </w:r>
      <w:r w:rsidR="00CE1CD9">
        <w:rPr>
          <w:rFonts w:ascii="Times New Roman" w:eastAsia="Times New Roman" w:hAnsi="Times New Roman" w:cs="Times New Roman"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ganhar por meio da transformação digital.</w:t>
      </w:r>
    </w:p>
    <w:p w14:paraId="34684451" w14:textId="77777777" w:rsidR="00124ADB" w:rsidRDefault="00124AD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684452" w14:textId="77777777" w:rsidR="00124ADB" w:rsidRDefault="00140968">
      <w:pPr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4.3</w:t>
      </w:r>
      <w:r w:rsidR="00B341D2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.4</w:t>
      </w:r>
      <w:r w:rsidR="00AA6534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 O gargalo da assinatura ICP-BRASIL</w:t>
      </w:r>
    </w:p>
    <w:p w14:paraId="34684453" w14:textId="77777777" w:rsidR="00124ADB" w:rsidRDefault="00124ADB">
      <w:pPr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</w:p>
    <w:p w14:paraId="34684454" w14:textId="77777777" w:rsidR="00124ADB" w:rsidRDefault="00AA6534">
      <w:pPr>
        <w:spacing w:line="240" w:lineRule="auto"/>
        <w:ind w:firstLine="709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Ao analisar as entrevistas com os Oficiais do Laboratório de Inovação, fica evidente que a MB, norteada pela DAdM, está convergindo para o uso cada vez maior de documentos assinados de forma digital.</w:t>
      </w:r>
    </w:p>
    <w:p w14:paraId="34684455" w14:textId="77777777" w:rsidR="00124ADB" w:rsidRDefault="00124ADB">
      <w:pPr>
        <w:spacing w:line="240" w:lineRule="auto"/>
        <w:ind w:firstLine="709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34684456" w14:textId="4307D056" w:rsidR="00124ADB" w:rsidRDefault="00AA6534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 xml:space="preserve">A Diretoria de Administração já 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expediu a</w:t>
      </w:r>
      <w:r w:rsidR="005051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Circular Nº 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2/2022</w:t>
      </w:r>
      <w:r w:rsidR="00DC2C32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Uso de assinaturas eletrônicas no SiGDEM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, disponível na página da intranet da DAdM. Essa circular contém as aplicações e circunstâncias em que deverão ser adotadas. Além disso, o próprio SIGDEM evoluiu na sua versão 6.0 para que pudesse possibilitar o trâmite de processos eletrônicos e assinatura por login e senha (cadastral) e assinatura com o token com certificação do ICP-Brasil. (E2)</w:t>
      </w:r>
    </w:p>
    <w:p w14:paraId="34684457" w14:textId="77777777" w:rsidR="00124ADB" w:rsidRDefault="00124AD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</w:pPr>
    </w:p>
    <w:p w14:paraId="34684458" w14:textId="77777777" w:rsidR="00124ADB" w:rsidRDefault="00AA6534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A assinatura de documentos de forma digital já é uma realidade com o novo sistema SiGDEM. As iniciativas vão desde a criação de um portal para o sistema no site da DAdM até a divulgação em Bono e incentivo as pessoas a utilizarem essa nova forma. A opção da marinha sempre é pela modernização. A assinatura ICP-Brasil já é uma realidade e é a opção escolhida pela Marinha. (E3)</w:t>
      </w:r>
    </w:p>
    <w:p w14:paraId="34684459" w14:textId="77777777" w:rsidR="00124ADB" w:rsidRDefault="00124AD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</w:pPr>
    </w:p>
    <w:p w14:paraId="3468445A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assinaturas e os certificados digitais servem para agregar confiança e segurança às comunicações e negócios veiculados em ambiente virtual (MENKE, 2003).</w:t>
      </w:r>
    </w:p>
    <w:p w14:paraId="3468445B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Apesar do SiGDEM 2.0.6.0 possuir a opção de uma assinatura digital sem o uso do certificado ICP-Brasil, este tipo de assinatura não possui efeitos legais e impossibilita a comprovação de qualquer ato perante pessoa jurídica de direito público, desta forma somente a assinatura por meio de um certificado ICP-Brasil possui validade jurídica (BRASIL, 2020).</w:t>
      </w:r>
    </w:p>
    <w:p w14:paraId="3468445C" w14:textId="5CADFED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documento interno SGM-105</w:t>
      </w:r>
      <w:r w:rsidR="00DC2C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Normas sobre Documentação Administração e Arquivamento da Marinha, aponta-se que a justificativa pelo uso das assinaturas produzidas com o uso do ICP-Brasil é por terem validade jurídica incontestável. A norma complementa que embora os documentos digitais produzidos sem os critérios ICP-Brasil possam ser apresentados como prova, estes poderão ser contestados pela parte contrária, em caso de litígio.</w:t>
      </w:r>
    </w:p>
    <w:p w14:paraId="3468445D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Hoje na MB, a emissão de certificados é realizada por diversas OM vinculadas à Autoridade Certificadora da Defesa (AC Defesa) ³. Uma das OM que realiza este tipo de serviço é o Serviço de Identificação da Marinha (SIM), onde são emitidas também as identidades de todos os militares.</w:t>
      </w:r>
    </w:p>
    <w:p w14:paraId="3468445E" w14:textId="77777777" w:rsidR="00124ADB" w:rsidRDefault="00AA6534">
      <w:pPr>
        <w:spacing w:line="240" w:lineRule="auto"/>
        <w:ind w:firstLine="709"/>
        <w:jc w:val="both"/>
        <w:rPr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Adicionalmente, nas instruções presentes na página da AC Defesa, é possível verificar que o armazenamento do certificado pode ser feito nas identidades que possuem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Tal medida reduz o custo da emissão dos certificados, uma vez que não se faz necessário a entrega de um dispositivo ao usuário para armazená-lo. </w:t>
      </w:r>
    </w:p>
    <w:p w14:paraId="3468445F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documento que normatiza sobre a emissão do certificado na MB é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DCTIMARINST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Nº 31-05. Nele é apresentado quais militares poderão emitir o certificado. </w:t>
      </w:r>
    </w:p>
    <w:p w14:paraId="34684460" w14:textId="77777777" w:rsidR="00124ADB" w:rsidRDefault="00AA6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461" w14:textId="1A166A9B" w:rsidR="00124ADB" w:rsidRDefault="00AA6534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 certificados digitais do tipo A3 serão emitidos para Almirantes, Titulares de OM e agentes administrativos que necessitem de certificados para autenticação nos sistemas da Administração Pública Federal (APF), como Ordenadores de Despesa, Agentes Financeiros ou operadores de sistemas e-consig. Os casos não previstos para emissão do certificado, devido à necessidade funcional, serão avaliados pelos Titulares das OM. No entanto, a DCTIM poderá ser consultada tecnicamente para orientar às OM na necessidade ou não de emissão de certificados (BRASIL, 2019</w:t>
      </w:r>
      <w:r w:rsidR="00077882">
        <w:rPr>
          <w:rFonts w:ascii="Times New Roman" w:eastAsia="Times New Roman" w:hAnsi="Times New Roman" w:cs="Times New Roman"/>
          <w:sz w:val="20"/>
          <w:szCs w:val="20"/>
        </w:rPr>
        <w:t>, p. 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684462" w14:textId="77777777" w:rsidR="00124ADB" w:rsidRDefault="00124ADB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684463" w14:textId="77777777" w:rsidR="00124ADB" w:rsidRDefault="00AA6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restrição apresentada também é presente nas normas relativas às assinaturas digitais 10-IG-01.020, do Exército Brasileiro e ICA7-43, da Força Aérea Brasileira. Esta última apresenta que a restrição é fundamentada pelos custos envolvidos na emissão do certificado. </w:t>
      </w:r>
    </w:p>
    <w:p w14:paraId="34684464" w14:textId="03A5F427" w:rsidR="00124ADB" w:rsidRDefault="00AA6534">
      <w:pPr>
        <w:pStyle w:val="Corpodetexto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a publicação do Decreto </w:t>
      </w:r>
      <w:r w:rsidR="00CE3B6A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10.543, de 13 de novembro de 2020, a Assinatura Eletrônica do Gov.br está disponível para todos com cadastro na aplicação. O principal avanço é que agora você pode assinar um documento em meio digital a partir da sua conta Gov.br sem custos, o que possibilita a assinatura de documentos por pessoas sem o certificado ICP-Brasil.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Apesar da vantagem apresentada, não foram verificados estudos no âmbito da MB sobre a aplicabilidade da ferram</w:t>
      </w:r>
      <w:r w:rsidR="009A4B79">
        <w:rPr>
          <w:rFonts w:ascii="Times New Roman" w:eastAsia="Times New Roman" w:hAnsi="Times New Roman" w:cs="Times New Roman"/>
          <w:sz w:val="24"/>
          <w:szCs w:val="24"/>
        </w:rPr>
        <w:t xml:space="preserve">enta junto ao SiGDEM, </w:t>
      </w:r>
      <w:r w:rsidR="002C3A1C">
        <w:rPr>
          <w:rFonts w:ascii="Times New Roman" w:eastAsia="Times New Roman" w:hAnsi="Times New Roman" w:cs="Times New Roman"/>
          <w:sz w:val="24"/>
          <w:szCs w:val="24"/>
        </w:rPr>
        <w:t>tampouco</w:t>
      </w:r>
      <w:r w:rsidR="009A4B7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0E30D6">
        <w:rPr>
          <w:rFonts w:ascii="Times New Roman" w:eastAsia="Times New Roman" w:hAnsi="Times New Roman" w:cs="Times New Roman"/>
          <w:sz w:val="24"/>
          <w:szCs w:val="24"/>
        </w:rPr>
        <w:t xml:space="preserve"> a mesma</w:t>
      </w:r>
      <w:r w:rsidR="009A4B79">
        <w:rPr>
          <w:rFonts w:ascii="Times New Roman" w:eastAsia="Times New Roman" w:hAnsi="Times New Roman" w:cs="Times New Roman"/>
          <w:sz w:val="24"/>
          <w:szCs w:val="24"/>
        </w:rPr>
        <w:t xml:space="preserve"> atende a</w:t>
      </w:r>
      <w:r>
        <w:rPr>
          <w:rFonts w:ascii="Times New Roman" w:eastAsia="Times New Roman" w:hAnsi="Times New Roman" w:cs="Times New Roman"/>
          <w:sz w:val="24"/>
          <w:szCs w:val="24"/>
        </w:rPr>
        <w:t>os requisitos de segurança exigido</w:t>
      </w:r>
      <w:r w:rsidR="009A4B7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dar </w:t>
      </w:r>
      <w:r w:rsidR="009A4B7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validade jurídica incontestável presente na SGM</w:t>
      </w:r>
      <w:r w:rsidR="00DC2C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271B0">
        <w:rPr>
          <w:rFonts w:ascii="Times New Roman" w:eastAsia="Times New Roman" w:hAnsi="Times New Roman" w:cs="Times New Roman"/>
          <w:sz w:val="24"/>
          <w:szCs w:val="24"/>
        </w:rPr>
        <w:t xml:space="preserve">105. </w:t>
      </w:r>
      <w:r w:rsidR="00C271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À luz do que foi apresentado, a emissão dos certificados torna-se o principal gargalo para a realização de uma comprovação totalmente digital. Como os militares recebedores e os que realizam a perícia do material não estão na relação, definida em norma, para a emissão do certificado ICP-Brasil, ficam impossibilitados de atribuir validade jurídica a suas assinaturas na certificação da nota fiscal.</w:t>
      </w:r>
    </w:p>
    <w:p w14:paraId="34684465" w14:textId="77777777" w:rsidR="00D12724" w:rsidRDefault="00D127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84466" w14:textId="77777777" w:rsidR="00124ADB" w:rsidRDefault="00AA65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CONSIDERAÇÕES FINAIS</w:t>
      </w:r>
    </w:p>
    <w:p w14:paraId="34684467" w14:textId="77777777" w:rsidR="00124ADB" w:rsidRDefault="00124A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84468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Este estudo teve como objetivo principal </w:t>
      </w:r>
      <w:r>
        <w:rPr>
          <w:rFonts w:ascii="Times New Roman" w:eastAsia="Times New Roman" w:hAnsi="Times New Roman" w:cs="Times New Roman"/>
          <w:sz w:val="24"/>
          <w:szCs w:val="24"/>
        </w:rPr>
        <w:t>identificar os benefícios que a realização de uma prestação de contas da Gestoria de Execução Financeira, em meio digital, trouxe para o Centro Logístico de Material da Marinha (CLogMat) e quais os principais gargalos enfrentados pela OM.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 atingi-lo, a presente pesquisa iniciou-se</w:t>
      </w:r>
      <w:r w:rsidR="00481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pelo entendimento sobre a transformação digital no mundo, no Brasil e na Marinha. Para tal, foram analisados livros, artigos científicos, leis, normas e documentos internos da MB. Após o entendimento do tema, foi aplicado um questionário com militares envolvidos na elaboração da comprovação de execução financeira de forma física. Nele, foi possível entender a</w:t>
      </w:r>
      <w:r w:rsidR="00261AB5">
        <w:rPr>
          <w:rFonts w:ascii="Times New Roman" w:eastAsia="Times New Roman" w:hAnsi="Times New Roman" w:cs="Times New Roman"/>
          <w:sz w:val="24"/>
          <w:szCs w:val="24"/>
        </w:rPr>
        <w:t xml:space="preserve"> perspectiva do usuário quanto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digitalização da prestação de contas.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84469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Adotando uma abordagem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Design Thinking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a importância da perspectiva do usuário na melhoria do processo, foram definidas seis variáveis de análise dos pontos mais citados no questionário aplicado: capacidade dos servidores de dados, economia de papel, celeridade no processo, rastreabilidade das notas, economia de espaço físico e assinatura eletrônica. Desta forma, foi possível atingir o primeiro objetivo específico deste trabalho. </w:t>
      </w:r>
    </w:p>
    <w:p w14:paraId="3468446A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variável foi analisada dentro de três categorias baseadas no E-Digital</w:t>
      </w:r>
      <w:r w:rsidR="00261AB5">
        <w:rPr>
          <w:rFonts w:ascii="Times New Roman" w:eastAsia="Times New Roman" w:hAnsi="Times New Roman" w:cs="Times New Roman"/>
          <w:sz w:val="24"/>
          <w:szCs w:val="24"/>
        </w:rPr>
        <w:t>, de forma que as análises conti</w:t>
      </w:r>
      <w:r>
        <w:rPr>
          <w:rFonts w:ascii="Times New Roman" w:eastAsia="Times New Roman" w:hAnsi="Times New Roman" w:cs="Times New Roman"/>
          <w:sz w:val="24"/>
          <w:szCs w:val="24"/>
        </w:rPr>
        <w:t>nham alinhamento com o que foi definido pelo Governo Federal. Os dados utilizados para análise foram obtidos por meio de entrevistas realizada</w:t>
      </w:r>
      <w:r w:rsidR="004816D1">
        <w:rPr>
          <w:rFonts w:ascii="Times New Roman" w:eastAsia="Times New Roman" w:hAnsi="Times New Roman" w:cs="Times New Roman"/>
          <w:sz w:val="24"/>
          <w:szCs w:val="24"/>
        </w:rPr>
        <w:t>s com militares que servem no 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ogMat, </w:t>
      </w:r>
      <w:r w:rsidR="00C271B0">
        <w:rPr>
          <w:rFonts w:ascii="Times New Roman" w:eastAsia="Times New Roman" w:hAnsi="Times New Roman" w:cs="Times New Roman"/>
          <w:sz w:val="24"/>
          <w:szCs w:val="24"/>
        </w:rPr>
        <w:t>atingindo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assim o segundo objetivo específico deste trabalho.</w:t>
      </w:r>
    </w:p>
    <w:p w14:paraId="3468446B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a análise, foi possível constatar que durante o projeto piloto realizado no CLogMat, três benefícios </w:t>
      </w:r>
      <w:r w:rsidR="00C271B0">
        <w:rPr>
          <w:rFonts w:ascii="Times New Roman" w:eastAsia="Times New Roman" w:hAnsi="Times New Roman" w:cs="Times New Roman"/>
          <w:sz w:val="24"/>
          <w:szCs w:val="24"/>
        </w:rPr>
        <w:t>substanciais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percebidos pelos militares: </w:t>
      </w:r>
      <w:r w:rsidR="00261AB5">
        <w:rPr>
          <w:rFonts w:ascii="Times New Roman" w:eastAsia="Times New Roman" w:hAnsi="Times New Roman" w:cs="Times New Roman"/>
          <w:sz w:val="24"/>
          <w:szCs w:val="24"/>
        </w:rPr>
        <w:t>redução do uso de papel pela OM,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agilidade na conclusão de processos e redução </w:t>
      </w:r>
      <w:r w:rsidR="00261AB5">
        <w:rPr>
          <w:rFonts w:ascii="Times New Roman" w:eastAsia="Times New Roman" w:hAnsi="Times New Roman" w:cs="Times New Roman"/>
          <w:sz w:val="24"/>
          <w:szCs w:val="24"/>
        </w:rPr>
        <w:t>da necessidade de espaço físico.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 forma, </w:t>
      </w:r>
      <w:r w:rsidR="00261AB5">
        <w:rPr>
          <w:rFonts w:ascii="Times New Roman" w:eastAsia="Times New Roman" w:hAnsi="Times New Roman" w:cs="Times New Roman"/>
          <w:sz w:val="24"/>
          <w:szCs w:val="24"/>
        </w:rPr>
        <w:t xml:space="preserve">atingiu-se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terceiro objetivo específico. </w:t>
      </w:r>
    </w:p>
    <w:p w14:paraId="3468446C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Ainda na análise dos dados, o quarto objetivo específico foi atingido ao ser constatado dois importantes gargalos que interferem diretamente na implantação de uma prestação digital de execução financeira. Apesar dos benefícios gerados pela digitalização, é </w:t>
      </w:r>
      <w:r w:rsidR="00C271B0">
        <w:rPr>
          <w:rFonts w:ascii="Times New Roman" w:eastAsia="Times New Roman" w:hAnsi="Times New Roman" w:cs="Times New Roman"/>
          <w:sz w:val="24"/>
          <w:szCs w:val="24"/>
        </w:rPr>
        <w:t>evidente</w:t>
      </w:r>
      <w:r w:rsidR="004816D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necessidade de investimentos na estrutura de TIC da OM, </w:t>
      </w:r>
      <w:r w:rsidR="00B754A4">
        <w:rPr>
          <w:rFonts w:ascii="Times New Roman" w:eastAsia="Times New Roman" w:hAnsi="Times New Roman" w:cs="Times New Roman"/>
          <w:sz w:val="24"/>
          <w:szCs w:val="24"/>
        </w:rPr>
        <w:t xml:space="preserve">pois,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vez que a quantidade de </w:t>
      </w:r>
      <w:r w:rsidR="00B754A4">
        <w:rPr>
          <w:rFonts w:ascii="Times New Roman" w:eastAsia="Times New Roman" w:hAnsi="Times New Roman" w:cs="Times New Roman"/>
          <w:sz w:val="24"/>
          <w:szCs w:val="24"/>
        </w:rPr>
        <w:t xml:space="preserve">dados aumentou,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SiGDEM apresentou lentidão devido a capacidade limitada dos servidores. </w:t>
      </w:r>
    </w:p>
    <w:p w14:paraId="3468446D" w14:textId="77777777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Mediante a restrição de quem pode emitir certificados ICP-Brasil, atribuir validade jurídica na certificação da nota fiscal de forma digital torna-se uma tarefa impraticável. Geralmente, os militares recebedores do material e os que realizam sua perícia não estão presentes na relação de pessoas autorizadas a emitir o certificado.</w:t>
      </w:r>
    </w:p>
    <w:p w14:paraId="3468446E" w14:textId="0263F258" w:rsidR="00124ADB" w:rsidRDefault="00AA6534">
      <w:pPr>
        <w:spacing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conseguinte, </w:t>
      </w:r>
      <w:r w:rsidR="00703CF4">
        <w:rPr>
          <w:rFonts w:ascii="Times New Roman" w:eastAsia="Times New Roman" w:hAnsi="Times New Roman" w:cs="Times New Roman"/>
          <w:sz w:val="24"/>
          <w:szCs w:val="24"/>
        </w:rPr>
        <w:t>sugerem-se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4816D1">
        <w:rPr>
          <w:rFonts w:ascii="Times New Roman" w:eastAsia="Times New Roman" w:hAnsi="Times New Roman" w:cs="Times New Roman"/>
          <w:sz w:val="24"/>
          <w:szCs w:val="24"/>
        </w:rPr>
        <w:t>omo estudo</w:t>
      </w:r>
      <w:r w:rsidR="00703C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16D1">
        <w:rPr>
          <w:rFonts w:ascii="Times New Roman" w:eastAsia="Times New Roman" w:hAnsi="Times New Roman" w:cs="Times New Roman"/>
          <w:sz w:val="24"/>
          <w:szCs w:val="24"/>
        </w:rPr>
        <w:t xml:space="preserve"> futuro</w:t>
      </w:r>
      <w:r w:rsidR="00703C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0F0D">
        <w:rPr>
          <w:rFonts w:ascii="Times New Roman" w:eastAsia="Times New Roman" w:hAnsi="Times New Roman" w:cs="Times New Roman"/>
          <w:sz w:val="24"/>
          <w:szCs w:val="24"/>
        </w:rPr>
        <w:t xml:space="preserve"> formas de aumentar a aderência</w:t>
      </w:r>
      <w:r w:rsidR="00703CF4">
        <w:rPr>
          <w:rFonts w:ascii="Times New Roman" w:eastAsia="Times New Roman" w:hAnsi="Times New Roman" w:cs="Times New Roman"/>
          <w:sz w:val="24"/>
          <w:szCs w:val="24"/>
        </w:rPr>
        <w:t xml:space="preserve"> das assinaturas digitais, como a </w:t>
      </w:r>
      <w:r w:rsidR="007C714E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ossibilidade</w:t>
      </w:r>
      <w:r w:rsidR="00EE3ED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emissão do certificado digital ICP-Brasil para todos os militares no momento que emitirem a carteira de identidade, desta forma, </w:t>
      </w:r>
      <w:r w:rsidR="00CE3B6A">
        <w:rPr>
          <w:rFonts w:ascii="Times New Roman" w:eastAsia="Times New Roman" w:hAnsi="Times New Roman" w:cs="Times New Roman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já viria com o certificado armazenado em seu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chip</w:t>
      </w:r>
      <w:r w:rsidR="006F2CA2">
        <w:rPr>
          <w:rFonts w:ascii="Times New Roman" w:eastAsia="Times New Roman" w:hAnsi="Times New Roman" w:cs="Times New Roman"/>
          <w:sz w:val="24"/>
          <w:szCs w:val="24"/>
        </w:rPr>
        <w:t xml:space="preserve"> ou a utilização de outras assinaturas</w:t>
      </w:r>
      <w:r w:rsidR="00190D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3CF4">
        <w:rPr>
          <w:rFonts w:ascii="Times New Roman" w:eastAsia="Times New Roman" w:hAnsi="Times New Roman" w:cs="Times New Roman"/>
          <w:sz w:val="24"/>
          <w:szCs w:val="24"/>
        </w:rPr>
        <w:t xml:space="preserve"> além do estudo sobre o impacto da ampliação dos servidores de dados </w:t>
      </w:r>
      <w:r w:rsidR="00190D28">
        <w:rPr>
          <w:rFonts w:ascii="Times New Roman" w:eastAsia="Times New Roman" w:hAnsi="Times New Roman" w:cs="Times New Roman"/>
          <w:sz w:val="24"/>
          <w:szCs w:val="24"/>
        </w:rPr>
        <w:t>n</w:t>
      </w:r>
      <w:r w:rsidR="00703CF4">
        <w:rPr>
          <w:rFonts w:ascii="Times New Roman" w:eastAsia="Times New Roman" w:hAnsi="Times New Roman" w:cs="Times New Roman"/>
          <w:sz w:val="24"/>
          <w:szCs w:val="24"/>
        </w:rPr>
        <w:t>as OM</w:t>
      </w:r>
      <w:r w:rsidR="00190D28">
        <w:rPr>
          <w:rFonts w:ascii="Times New Roman" w:eastAsia="Times New Roman" w:hAnsi="Times New Roman" w:cs="Times New Roman"/>
          <w:sz w:val="24"/>
          <w:szCs w:val="24"/>
        </w:rPr>
        <w:t xml:space="preserve"> da MB.</w:t>
      </w:r>
      <w:r w:rsidR="00DC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68446F" w14:textId="77777777" w:rsidR="00124ADB" w:rsidRDefault="00AA6534" w:rsidP="00190D28">
      <w:pPr>
        <w:spacing w:before="240" w:after="24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NOTAS</w:t>
      </w:r>
    </w:p>
    <w:p w14:paraId="34684470" w14:textId="4F54BB9C" w:rsidR="00124ADB" w:rsidRDefault="00E73784">
      <w:p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</w:t>
      </w:r>
      <w:r w:rsidR="00AA6534">
        <w:rPr>
          <w:rFonts w:ascii="Times New Roman" w:eastAsia="Times New Roman" w:hAnsi="Times New Roman" w:cs="Times New Roman"/>
          <w:sz w:val="20"/>
          <w:szCs w:val="20"/>
        </w:rPr>
        <w:t>Plan</w:t>
      </w:r>
      <w:r w:rsidR="00AA65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 Estratégico Organizacional – Documento que busca estruturar os objetivos de uma organização e as ações necessárias para alcançá-los</w:t>
      </w:r>
      <w:r w:rsidR="00E40F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(BRASIL</w:t>
      </w:r>
      <w:r w:rsidR="00662B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2022)</w:t>
      </w:r>
      <w:r w:rsidR="00CE3B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34684471" w14:textId="77777777" w:rsidR="00124ADB" w:rsidRDefault="00AA6534">
      <w:p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²Painel de Preços do Governo Federal – Ferramenta que disponibiliza dados e informações de compras públicas homologadas no Sistema de Compras do Governo Federal. </w:t>
      </w:r>
    </w:p>
    <w:p w14:paraId="34684472" w14:textId="00AE3EDF" w:rsidR="00124ADB" w:rsidRDefault="00AA6534">
      <w:p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³Autoridade Certificadora da Defesa (AC Defesa) – Órgão que tem como missão emitir e fornecer certificados digitais para o Ministério da Defesa (MD), bem como para as três Forças (BRASIL, 2001)</w:t>
      </w:r>
      <w:r w:rsidR="00CE3B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34684473" w14:textId="666040F9" w:rsidR="00124ADB" w:rsidRDefault="00AA6534">
      <w:pPr>
        <w:spacing w:before="240" w:after="240" w:line="240" w:lineRule="auto"/>
        <w:ind w:right="1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Link referente ao questionário aplicado: https://forms.gle/4gRc41KAAJDXgEWn6</w:t>
      </w:r>
      <w:r w:rsidR="00CE3B6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4684474" w14:textId="77777777" w:rsidR="00124ADB" w:rsidRDefault="00AA6534" w:rsidP="00470D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4684475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ALBERTIN, Alberto Luiz; MOURA Rosa Maria</w:t>
      </w:r>
      <w:r w:rsidR="00365B32"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Albertin de. Transformação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digital: ge</w:t>
      </w:r>
      <w:r w:rsidR="0005490B"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rando valor para o novo futuro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. 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GV-executivo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, v. 20, n. 1, p. 26-29, 2021</w:t>
      </w:r>
    </w:p>
    <w:p w14:paraId="34684476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ALMEIDA, Arlysson S.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Programa Netuno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: uma proposta para a transformação digital na Gestão Estratégica da Marinha, 2019.</w:t>
      </w:r>
    </w:p>
    <w:p w14:paraId="34684477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ASK, Andreas; HATAKKA, Mathias; GRÖNLUND, Åke. The Örebro city citizen-oriented e-Government strategy.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International Journal of Electronic Government Research (IJEGR)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, v. 4, n. 4, p. 69-88, 2008.</w:t>
      </w:r>
    </w:p>
    <w:p w14:paraId="34684478" w14:textId="77777777" w:rsidR="00124ADB" w:rsidRPr="00AA16A5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 xml:space="preserve">BERMAN, Saul J. 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  <w:lang w:val="en-US"/>
        </w:rPr>
        <w:t>Digital transformation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 xml:space="preserve">: opportunities to create new business models. </w:t>
      </w:r>
      <w:r w:rsidRPr="00AA16A5">
        <w:rPr>
          <w:rFonts w:ascii="Times New Roman" w:eastAsia="Roboto" w:hAnsi="Times New Roman" w:cs="Times New Roman"/>
          <w:sz w:val="24"/>
          <w:szCs w:val="24"/>
          <w:highlight w:val="white"/>
        </w:rPr>
        <w:t>Strategy &amp; Leadership, 2012.</w:t>
      </w:r>
    </w:p>
    <w:p w14:paraId="34684479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>BRASIL</w:t>
      </w:r>
      <w:r w:rsidR="00485F1A" w:rsidRPr="00DC1056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D</w:t>
      </w:r>
      <w:r w:rsidR="00485F1A"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ecreto nº 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10.543, </w:t>
      </w:r>
      <w:r w:rsidR="00365B32"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de 13 de novembro de 2020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. 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o uso de assinaturas eletrônicas na administração pública federal e regulamenta o art. 5º da Lei </w:t>
      </w:r>
      <w:r w:rsidRPr="00DC1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nº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> 14.063, de 23 de setembro de </w:t>
      </w:r>
      <w:r w:rsidRPr="00DC1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>, quanto ao nível mínimo exigido para a assinatura eletrônica em interações com o ente público</w:t>
      </w:r>
    </w:p>
    <w:p w14:paraId="3468447A" w14:textId="77777777" w:rsidR="00124ADB" w:rsidRPr="00DC1056" w:rsidRDefault="00365B32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BRASIL. </w:t>
      </w:r>
      <w:r w:rsidR="00AA6534"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Decreto nº 8.917, 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de 03 de abril de 2000</w:t>
      </w:r>
      <w:r w:rsidR="005E6B64"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. Institui Grupo de Trabalho </w:t>
      </w:r>
      <w:r w:rsidR="00AA6534" w:rsidRPr="00DC1056">
        <w:rPr>
          <w:rFonts w:ascii="Times New Roman" w:hAnsi="Times New Roman" w:cs="Times New Roman"/>
          <w:sz w:val="24"/>
          <w:szCs w:val="24"/>
          <w:highlight w:val="white"/>
        </w:rPr>
        <w:t>Interministerial para examinar e propor políticas, diretrizes e normas relacionadas com as novas formas eletrônicas de interação. Diário Oficial da República Federativa do Brasil, Poder Executivo, Brasília, DF, 03 abr. 2000. Seção 1.</w:t>
      </w:r>
    </w:p>
    <w:p w14:paraId="3468447B" w14:textId="77777777" w:rsidR="005E6B64" w:rsidRPr="00DC1056" w:rsidRDefault="005E6B6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>BRASIL. Lei n° 4.320 de 17 de março de 1964. Estatui Normas Gerais de Direito Financeiro para elaboração e controle dos orçamentos e balanços da União, dos Estados, dos Municípios e do Distrito Federal. Brasília, DF. Disponível em: http://www.planalto.gov.br/Ccivil_03/leis/L4320.htm Acesso: 23 out 2022</w:t>
      </w:r>
    </w:p>
    <w:p w14:paraId="3468447C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</w:rPr>
      </w:pPr>
      <w:r w:rsidRPr="00DC1056">
        <w:rPr>
          <w:rFonts w:ascii="Times New Roman" w:hAnsi="Times New Roman" w:cs="Times New Roman"/>
          <w:sz w:val="24"/>
          <w:szCs w:val="24"/>
        </w:rPr>
        <w:t>BRASIL. Marinha do Brasil. Estado-Maior da Armada. PTDS-MB: Plano de Transformação Digital de Serviços da Marinha. Brasília, DF, 2022a.</w:t>
      </w:r>
    </w:p>
    <w:p w14:paraId="3468447D" w14:textId="77777777" w:rsidR="00E37F6B" w:rsidRPr="00DC1056" w:rsidRDefault="00E37F6B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BRASIL. Marinha do Brasil. Secretaria-Geral da Marinha. SGM-601: Normas sobre Auditoria, Análise e Apresentação de Contas na Marinha.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Rev. 5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. Brasília, DF, 2014b </w:t>
      </w:r>
    </w:p>
    <w:p w14:paraId="3468447E" w14:textId="77777777" w:rsidR="00E37F6B" w:rsidRPr="00DC1056" w:rsidRDefault="00E37F6B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BRASIL. Marinha do Brasil. Secretaria-Geral da Marinha. SGM-105: Normas sobre Documentação Administrativa e Arquivamento na Marinha.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Rev. 5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 Brasília, DF, 2018b.</w:t>
      </w:r>
    </w:p>
    <w:p w14:paraId="3468447F" w14:textId="77777777" w:rsidR="00E37F6B" w:rsidRPr="00DC1056" w:rsidRDefault="00E37F6B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BRASIL. Marinha do Brasil. Secretaria-Geral da Marinha. SGM-301: Normas sobre Administração Financeira e Contabilidade.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Rev. 8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. Brasília, DF, 2020b.</w:t>
      </w:r>
    </w:p>
    <w:p w14:paraId="34684480" w14:textId="77777777" w:rsidR="00124ADB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DC1056">
        <w:rPr>
          <w:rFonts w:ascii="Times New Roman" w:hAnsi="Times New Roman" w:cs="Times New Roman"/>
          <w:sz w:val="24"/>
          <w:szCs w:val="24"/>
        </w:rPr>
        <w:t xml:space="preserve">BRASIL. Marinha do Brasil. Secretaria-Geral da Marinha. PDS-SGM: Plano de Direção </w:t>
      </w:r>
      <w:r w:rsidR="005E6B64" w:rsidRPr="00DC1056">
        <w:rPr>
          <w:rFonts w:ascii="Times New Roman" w:hAnsi="Times New Roman" w:cs="Times New Roman"/>
          <w:sz w:val="24"/>
          <w:szCs w:val="24"/>
        </w:rPr>
        <w:t>Setorial</w:t>
      </w:r>
      <w:r w:rsidRPr="00DC1056">
        <w:rPr>
          <w:rFonts w:ascii="Times New Roman" w:hAnsi="Times New Roman" w:cs="Times New Roman"/>
          <w:sz w:val="24"/>
          <w:szCs w:val="24"/>
        </w:rPr>
        <w:t xml:space="preserve"> de Logística, Finanças, Orçamento e Gestão. Brasília, DF, 2022</w:t>
      </w:r>
      <w:r w:rsidR="00932554">
        <w:rPr>
          <w:rFonts w:ascii="Times New Roman" w:hAnsi="Times New Roman" w:cs="Times New Roman"/>
          <w:sz w:val="24"/>
          <w:szCs w:val="24"/>
        </w:rPr>
        <w:t>a.</w:t>
      </w:r>
    </w:p>
    <w:p w14:paraId="34684481" w14:textId="77777777" w:rsidR="00932554" w:rsidRPr="00932554" w:rsidRDefault="0093255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932554">
        <w:rPr>
          <w:rFonts w:ascii="Times New Roman" w:hAnsi="Times New Roman" w:cs="Times New Roman"/>
          <w:sz w:val="24"/>
          <w:szCs w:val="24"/>
        </w:rPr>
        <w:t>BRASIL. Marinha do Brasi</w:t>
      </w:r>
      <w:r w:rsidR="00F4519C">
        <w:rPr>
          <w:rFonts w:ascii="Times New Roman" w:hAnsi="Times New Roman" w:cs="Times New Roman"/>
          <w:sz w:val="24"/>
          <w:szCs w:val="24"/>
          <w:highlight w:val="white"/>
        </w:rPr>
        <w:t xml:space="preserve">l. Secretaria-Geral da Marinha. </w:t>
      </w:r>
      <w:r>
        <w:rPr>
          <w:rFonts w:ascii="Times New Roman" w:hAnsi="Times New Roman" w:cs="Times New Roman"/>
          <w:sz w:val="24"/>
          <w:szCs w:val="24"/>
          <w:highlight w:val="white"/>
        </w:rPr>
        <w:t>Manual de Procedimentos do Programa Netuno</w:t>
      </w:r>
      <w:r w:rsidRPr="00932554">
        <w:rPr>
          <w:rFonts w:ascii="Times New Roman" w:hAnsi="Times New Roman" w:cs="Times New Roman"/>
          <w:sz w:val="24"/>
          <w:szCs w:val="24"/>
        </w:rPr>
        <w:t>. Brasília, DF, 2022</w:t>
      </w:r>
      <w:r>
        <w:rPr>
          <w:rFonts w:ascii="Times New Roman" w:hAnsi="Times New Roman" w:cs="Times New Roman"/>
          <w:sz w:val="24"/>
          <w:szCs w:val="24"/>
          <w:highlight w:val="white"/>
        </w:rPr>
        <w:t>a.</w:t>
      </w:r>
    </w:p>
    <w:p w14:paraId="34684482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</w:rPr>
      </w:pPr>
      <w:r w:rsidRPr="00DC1056">
        <w:rPr>
          <w:rFonts w:ascii="Times New Roman" w:eastAsia="Roboto" w:hAnsi="Times New Roman" w:cs="Times New Roman"/>
          <w:sz w:val="24"/>
          <w:szCs w:val="24"/>
        </w:rPr>
        <w:t>BRASIL. Estratégia Brasileira para a Transformação Digital (E-Digital). Brasília, 2018. Disponível em: https://www.gov.br/mcti/pt-br/centrais-de-conteudo/comunicados-mcti/estrategia-digital-brasileira/estrategiadigital.pdf. Acesso em ago. de 2022.</w:t>
      </w:r>
    </w:p>
    <w:p w14:paraId="34684483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BRENNEN, J. Scott; KREISS, Daniel.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Digitalization</w:t>
      </w:r>
      <w:r w:rsidR="005E6B64"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:</w:t>
      </w:r>
      <w:r w:rsidR="00DA1284"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t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he international encyclopedia of communication theory and philosophy, p. 1-11, 2016.</w:t>
      </w:r>
    </w:p>
    <w:p w14:paraId="34684484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AE284E">
        <w:rPr>
          <w:rFonts w:ascii="Times New Roman" w:hAnsi="Times New Roman" w:cs="Times New Roman"/>
          <w:sz w:val="24"/>
          <w:szCs w:val="24"/>
          <w:highlight w:val="white"/>
        </w:rPr>
        <w:t xml:space="preserve">BROWN, Tim.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Design Thinking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: uma metodologia poderosa para decretar o fim das velhas ideias. Alta Books, 2020.</w:t>
      </w:r>
    </w:p>
    <w:p w14:paraId="34684485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DALTRO, Emanuelle Marques dos Santos;SILVA Mira da.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25Transformação Digital para Além da </w:t>
      </w:r>
      <w:r w:rsidR="005264FC"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Tecnologia</w:t>
      </w:r>
      <w:r w:rsidR="005264FC" w:rsidRPr="00DC1056">
        <w:rPr>
          <w:rFonts w:ascii="Times New Roman" w:hAnsi="Times New Roman" w:cs="Times New Roman"/>
          <w:sz w:val="24"/>
          <w:szCs w:val="24"/>
          <w:highlight w:val="white"/>
        </w:rPr>
        <w:t>: uma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 análise sobre as pessoas e os processos relacionados com o uso das mídias sociais na pref</w:t>
      </w:r>
      <w:r w:rsidR="00140869" w:rsidRPr="00DC1056">
        <w:rPr>
          <w:rFonts w:ascii="Times New Roman" w:hAnsi="Times New Roman" w:cs="Times New Roman"/>
          <w:sz w:val="24"/>
          <w:szCs w:val="24"/>
          <w:highlight w:val="white"/>
        </w:rPr>
        <w:t>eitura de salvador-Bahia. 2021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34684486" w14:textId="77777777" w:rsidR="00124ADB" w:rsidRPr="00010EAB" w:rsidRDefault="00AA6534" w:rsidP="00470DFC">
      <w:pPr>
        <w:pStyle w:val="Ttulo1"/>
        <w:shd w:val="clear" w:color="auto" w:fill="FFFFFF"/>
        <w:spacing w:before="0" w:after="0" w:line="240" w:lineRule="auto"/>
        <w:rPr>
          <w:rFonts w:ascii="Times New Roman" w:hAnsi="Times New Roman" w:cs="Times New Roman"/>
          <w:spacing w:val="-10"/>
          <w:sz w:val="24"/>
          <w:szCs w:val="24"/>
          <w:lang w:val="en-US"/>
        </w:rPr>
      </w:pPr>
      <w:r w:rsidRPr="00DC1056">
        <w:rPr>
          <w:rFonts w:ascii="Times New Roman" w:hAnsi="Times New Roman" w:cs="Times New Roman"/>
          <w:spacing w:val="-10"/>
          <w:sz w:val="24"/>
          <w:szCs w:val="24"/>
        </w:rPr>
        <w:t xml:space="preserve">DESENVOLVIMENTO DE PRODUTO: como utilizar o Design Thinking. INOVATE: 2019. Disponível </w:t>
      </w:r>
      <w:r w:rsidR="00E37F6B" w:rsidRPr="00DC1056">
        <w:rPr>
          <w:rFonts w:ascii="Times New Roman" w:hAnsi="Times New Roman" w:cs="Times New Roman"/>
          <w:spacing w:val="-10"/>
          <w:sz w:val="24"/>
          <w:szCs w:val="24"/>
        </w:rPr>
        <w:t>em:</w:t>
      </w:r>
      <w:r w:rsidR="00E737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E284E">
        <w:fldChar w:fldCharType="begin"/>
      </w:r>
      <w:r w:rsidR="00AE284E">
        <w:instrText xml:space="preserve"> HYPERLINK "https://dokumen.pub/o-caminho-certo-para-liderar-o-design-thinking-abril-2019-97-9704nbsped.html" \h </w:instrText>
      </w:r>
      <w:r w:rsidR="00AE284E">
        <w:fldChar w:fldCharType="separate"/>
      </w:r>
      <w:r w:rsidRPr="00E73784">
        <w:rPr>
          <w:rStyle w:val="LinkdaInternet"/>
          <w:rFonts w:ascii="Times New Roman" w:eastAsia="Roboto" w:hAnsi="Times New Roman" w:cs="Times New Roman"/>
          <w:color w:val="auto"/>
          <w:sz w:val="24"/>
          <w:szCs w:val="24"/>
          <w:u w:val="none"/>
        </w:rPr>
        <w:t>https://dokumen.pub/o-caminho-certo-para-liderar-o-design-thinking-abril-2019-97-9704nbsped.html</w:t>
      </w:r>
      <w:r w:rsidR="00AE284E">
        <w:rPr>
          <w:rStyle w:val="LinkdaInternet"/>
          <w:rFonts w:ascii="Times New Roman" w:eastAsia="Roboto" w:hAnsi="Times New Roman" w:cs="Times New Roman"/>
          <w:color w:val="auto"/>
          <w:sz w:val="24"/>
          <w:szCs w:val="24"/>
          <w:u w:val="none"/>
        </w:rPr>
        <w:fldChar w:fldCharType="end"/>
      </w:r>
      <w:r w:rsidRPr="00E73784">
        <w:rPr>
          <w:rStyle w:val="LinkdaInternet"/>
          <w:rFonts w:ascii="Times New Roman" w:eastAsia="Roboto" w:hAnsi="Times New Roman" w:cs="Times New Roman"/>
          <w:color w:val="auto"/>
          <w:sz w:val="24"/>
          <w:szCs w:val="24"/>
          <w:u w:val="none"/>
        </w:rPr>
        <w:t>.</w:t>
      </w:r>
      <w:r w:rsidR="00286A40" w:rsidRPr="00DC10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86A40" w:rsidRPr="00010EAB">
        <w:rPr>
          <w:rFonts w:ascii="Times New Roman" w:hAnsi="Times New Roman" w:cs="Times New Roman"/>
          <w:spacing w:val="-10"/>
          <w:sz w:val="24"/>
          <w:szCs w:val="24"/>
          <w:lang w:val="en-US"/>
        </w:rPr>
        <w:t>Acesso em: 10 abri. 2022</w:t>
      </w:r>
    </w:p>
    <w:p w14:paraId="34684487" w14:textId="77777777" w:rsidR="00124ADB" w:rsidRPr="00010EAB" w:rsidRDefault="00124ADB" w:rsidP="00470DFC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4684488" w14:textId="42CC36DE" w:rsidR="00124ADB" w:rsidRPr="00010EAB" w:rsidRDefault="00AA6534" w:rsidP="00470DFC">
      <w:pPr>
        <w:spacing w:after="240" w:line="24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EUROPEAN Commission Powering European public sector innovation: Towards a new architecture. </w:t>
      </w:r>
      <w:r w:rsidRPr="00010EAB">
        <w:rPr>
          <w:rFonts w:ascii="Times New Roman" w:hAnsi="Times New Roman" w:cs="Times New Roman"/>
          <w:sz w:val="24"/>
          <w:szCs w:val="24"/>
          <w:highlight w:val="white"/>
        </w:rPr>
        <w:t>Retrieved from.</w:t>
      </w:r>
      <w:r w:rsidR="00FD6FB7" w:rsidRPr="00010EAB">
        <w:rPr>
          <w:rFonts w:ascii="Times New Roman" w:hAnsi="Times New Roman" w:cs="Times New Roman"/>
          <w:sz w:val="24"/>
          <w:szCs w:val="24"/>
          <w:highlight w:val="white"/>
        </w:rPr>
        <w:t xml:space="preserve"> 2013.</w:t>
      </w:r>
      <w:r w:rsidR="00DC2C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10EAB">
        <w:rPr>
          <w:rFonts w:ascii="Times New Roman" w:hAnsi="Times New Roman" w:cs="Times New Roman"/>
          <w:sz w:val="24"/>
          <w:szCs w:val="24"/>
          <w:highlight w:val="white"/>
        </w:rPr>
        <w:t xml:space="preserve">Disponível em: </w:t>
      </w:r>
      <w:hyperlink r:id="rId14">
        <w:r w:rsidRPr="00010EAB">
          <w:rPr>
            <w:rStyle w:val="LinkdaInternet"/>
            <w:rFonts w:ascii="Times New Roman" w:hAnsi="Times New Roman" w:cs="Times New Roman"/>
            <w:color w:val="auto"/>
            <w:sz w:val="24"/>
            <w:szCs w:val="24"/>
            <w:u w:val="none"/>
          </w:rPr>
          <w:t>https://ec.europa.eu/digital-single-market/en/news/powering-european-public-sector-innovation-towards-new-architecture</w:t>
        </w:r>
      </w:hyperlink>
      <w:r w:rsidRPr="00010EAB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010EAB">
        <w:rPr>
          <w:rFonts w:ascii="Times New Roman" w:hAnsi="Times New Roman" w:cs="Times New Roman"/>
          <w:sz w:val="24"/>
          <w:szCs w:val="24"/>
        </w:rPr>
        <w:t xml:space="preserve"> Acesso em: 15 set.2022</w:t>
      </w:r>
    </w:p>
    <w:p w14:paraId="34684489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GATES, Bill. 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A estrada do futuro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. São Paulo: Companhia das Letras, 1995.</w:t>
      </w:r>
    </w:p>
    <w:p w14:paraId="3468448A" w14:textId="77777777" w:rsidR="00124ADB" w:rsidRPr="00010EAB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GOUVEIA, Luís Borges. </w:t>
      </w:r>
      <w:r w:rsidR="00E37F6B" w:rsidRPr="00DC1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Local e-government:</w:t>
      </w:r>
      <w:r w:rsidR="00E37F6B"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governação digital na autarquia</w:t>
      </w:r>
      <w:r w:rsidRPr="00010EAB">
        <w:rPr>
          <w:rFonts w:ascii="Times New Roman" w:hAnsi="Times New Roman" w:cs="Times New Roman"/>
          <w:sz w:val="24"/>
          <w:szCs w:val="24"/>
          <w:highlight w:val="white"/>
        </w:rPr>
        <w:t>2004. Disponível em:</w:t>
      </w:r>
      <w:r w:rsidR="00295BB7" w:rsidRPr="00010EA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Pr="00010EAB">
          <w:rPr>
            <w:rStyle w:val="LinkdaInternet"/>
            <w:rFonts w:ascii="Times New Roman" w:hAnsi="Times New Roman" w:cs="Times New Roman"/>
            <w:color w:val="auto"/>
            <w:sz w:val="24"/>
            <w:szCs w:val="24"/>
            <w:u w:val="none"/>
          </w:rPr>
          <w:t>https://core.ac.uk/download/pdf/61003821.pdf</w:t>
        </w:r>
      </w:hyperlink>
      <w:r w:rsidRPr="00010EAB">
        <w:rPr>
          <w:rFonts w:ascii="Times New Roman" w:hAnsi="Times New Roman" w:cs="Times New Roman"/>
          <w:sz w:val="24"/>
          <w:szCs w:val="24"/>
        </w:rPr>
        <w:t>. Acesso em: 15 jul.2022</w:t>
      </w:r>
    </w:p>
    <w:p w14:paraId="3468448B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AA16A5">
        <w:rPr>
          <w:rFonts w:ascii="Times New Roman" w:hAnsi="Times New Roman" w:cs="Times New Roman"/>
          <w:sz w:val="24"/>
          <w:szCs w:val="24"/>
          <w:highlight w:val="white"/>
        </w:rPr>
        <w:t xml:space="preserve">HAFFKE, Ingmar; KALGOVAS, Bradley; BENLIAN, Alexander. 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Options for Transforming the </w:t>
      </w:r>
      <w:r w:rsidR="00FD6FB7"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ITS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Function Using Bimodal IT.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MIS quarterly Executive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, v. 16, n. 2, 2017.</w:t>
      </w:r>
    </w:p>
    <w:p w14:paraId="3468448C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HENRIETTE, Emily; FEKI, Mondher; BOUGHZALA, Imed.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The shape of digital transformation: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A systematic literature review. 2015.</w:t>
      </w:r>
    </w:p>
    <w:p w14:paraId="3468448D" w14:textId="77777777" w:rsidR="00124ADB" w:rsidRPr="00010EAB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 xml:space="preserve">HERBERT, Lindsay. Digital transformation: Build your organization's future for the innovation age. </w:t>
      </w:r>
      <w:r w:rsidRPr="00010EAB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Bloomsbury Publishing</w:t>
      </w:r>
      <w:r w:rsidRPr="00010EAB">
        <w:rPr>
          <w:rFonts w:ascii="Times New Roman" w:eastAsia="Roboto" w:hAnsi="Times New Roman" w:cs="Times New Roman"/>
          <w:sz w:val="24"/>
          <w:szCs w:val="24"/>
          <w:highlight w:val="white"/>
        </w:rPr>
        <w:t>, 2017.</w:t>
      </w:r>
    </w:p>
    <w:p w14:paraId="3468448E" w14:textId="77777777" w:rsidR="00B40372" w:rsidRDefault="00140968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DC1056">
        <w:rPr>
          <w:rFonts w:ascii="Times New Roman" w:hAnsi="Times New Roman" w:cs="Times New Roman"/>
          <w:sz w:val="24"/>
          <w:szCs w:val="24"/>
        </w:rPr>
        <w:t>INDICADORES do setor de árvores plantadas. O papel</w:t>
      </w:r>
      <w:r w:rsidR="00874672" w:rsidRPr="00DC1056">
        <w:rPr>
          <w:rFonts w:ascii="Times New Roman" w:hAnsi="Times New Roman" w:cs="Times New Roman"/>
          <w:sz w:val="24"/>
          <w:szCs w:val="24"/>
        </w:rPr>
        <w:t>.</w:t>
      </w:r>
      <w:r w:rsidRPr="00DC1056">
        <w:rPr>
          <w:rFonts w:ascii="Times New Roman" w:hAnsi="Times New Roman" w:cs="Times New Roman"/>
          <w:sz w:val="24"/>
          <w:szCs w:val="24"/>
        </w:rPr>
        <w:t xml:space="preserve"> [artigo online], ABTCP, 2009. </w:t>
      </w:r>
      <w:r w:rsidR="00B40372" w:rsidRPr="00DC1056">
        <w:rPr>
          <w:rFonts w:ascii="Times New Roman" w:hAnsi="Times New Roman" w:cs="Times New Roman"/>
          <w:sz w:val="24"/>
          <w:szCs w:val="24"/>
        </w:rPr>
        <w:t>Disponível</w:t>
      </w:r>
      <w:r w:rsidR="00B40372">
        <w:rPr>
          <w:rFonts w:ascii="Times New Roman" w:hAnsi="Times New Roman" w:cs="Times New Roman"/>
          <w:sz w:val="24"/>
          <w:szCs w:val="24"/>
        </w:rPr>
        <w:t xml:space="preserve"> e</w:t>
      </w:r>
      <w:r w:rsidRPr="00DC1056">
        <w:rPr>
          <w:rFonts w:ascii="Times New Roman" w:hAnsi="Times New Roman" w:cs="Times New Roman"/>
          <w:sz w:val="24"/>
          <w:szCs w:val="24"/>
        </w:rPr>
        <w:t>m:</w:t>
      </w:r>
      <w:r w:rsidR="00B40372">
        <w:rPr>
          <w:rFonts w:ascii="Times New Roman" w:hAnsi="Times New Roman" w:cs="Times New Roman"/>
          <w:sz w:val="24"/>
          <w:szCs w:val="24"/>
        </w:rPr>
        <w:t xml:space="preserve"> </w:t>
      </w:r>
      <w:r w:rsidR="00B40372" w:rsidRPr="00B40372">
        <w:rPr>
          <w:rFonts w:ascii="Times New Roman" w:hAnsi="Times New Roman" w:cs="Times New Roman"/>
          <w:sz w:val="24"/>
          <w:szCs w:val="24"/>
        </w:rPr>
        <w:t>http://www.revistaopapel.org.br/noticia-anexos/1655954140_3b8907985687bb70f9b13dadd48bb1fc_1560359622.pdf</w:t>
      </w:r>
      <w:r w:rsidR="00B40372">
        <w:rPr>
          <w:rFonts w:ascii="Times New Roman" w:hAnsi="Times New Roman" w:cs="Times New Roman"/>
          <w:sz w:val="24"/>
          <w:szCs w:val="24"/>
        </w:rPr>
        <w:t xml:space="preserve">. Acessoem: </w:t>
      </w:r>
      <w:r w:rsidRPr="00DC1056">
        <w:rPr>
          <w:rFonts w:ascii="Times New Roman" w:hAnsi="Times New Roman" w:cs="Times New Roman"/>
          <w:sz w:val="24"/>
          <w:szCs w:val="24"/>
        </w:rPr>
        <w:t>20</w:t>
      </w:r>
      <w:r w:rsidR="00B40372">
        <w:rPr>
          <w:rFonts w:ascii="Times New Roman" w:hAnsi="Times New Roman" w:cs="Times New Roman"/>
          <w:sz w:val="24"/>
          <w:szCs w:val="24"/>
        </w:rPr>
        <w:t xml:space="preserve"> </w:t>
      </w:r>
      <w:r w:rsidRPr="00DC1056">
        <w:rPr>
          <w:rFonts w:ascii="Times New Roman" w:hAnsi="Times New Roman" w:cs="Times New Roman"/>
          <w:sz w:val="24"/>
          <w:szCs w:val="24"/>
        </w:rPr>
        <w:t>out.</w:t>
      </w:r>
      <w:r w:rsidR="00B40372">
        <w:rPr>
          <w:rFonts w:ascii="Times New Roman" w:hAnsi="Times New Roman" w:cs="Times New Roman"/>
          <w:sz w:val="24"/>
          <w:szCs w:val="24"/>
        </w:rPr>
        <w:t xml:space="preserve"> </w:t>
      </w:r>
      <w:r w:rsidRPr="00DC1056">
        <w:rPr>
          <w:rFonts w:ascii="Times New Roman" w:hAnsi="Times New Roman" w:cs="Times New Roman"/>
          <w:sz w:val="24"/>
          <w:szCs w:val="24"/>
        </w:rPr>
        <w:t>2022</w:t>
      </w:r>
    </w:p>
    <w:p w14:paraId="3468448F" w14:textId="2F61B4D9" w:rsidR="00124ADB" w:rsidRPr="00AA16A5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</w:rPr>
        <w:t>INSTITUTO NACIONAL DE TECNOLOGIA DA INFORMAÇÃO. Disponível em:</w:t>
      </w:r>
      <w:r w:rsidR="00DC2C3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>
        <w:r w:rsidRPr="00295BB7">
          <w:rPr>
            <w:rStyle w:val="LinkdaInternet"/>
            <w:rFonts w:ascii="Times New Roman" w:eastAsia="Roboto" w:hAnsi="Times New Roman" w:cs="Times New Roman"/>
            <w:color w:val="auto"/>
            <w:sz w:val="24"/>
            <w:szCs w:val="24"/>
            <w:u w:val="none"/>
          </w:rPr>
          <w:t>https://www.acdefesa.mil.br/orientacoes/DOU%20Nr%20188_29%20Set%2017%20_%20Pag%2031_32.pdf</w:t>
        </w:r>
      </w:hyperlink>
      <w:r w:rsidRPr="00295BB7">
        <w:rPr>
          <w:rFonts w:ascii="Times New Roman" w:eastAsia="Roboto" w:hAnsi="Times New Roman" w:cs="Times New Roman"/>
          <w:sz w:val="24"/>
          <w:szCs w:val="24"/>
        </w:rPr>
        <w:t>.</w:t>
      </w:r>
      <w:r w:rsidRPr="00DC1056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AA16A5">
        <w:rPr>
          <w:rFonts w:ascii="Times New Roman" w:eastAsia="Roboto" w:hAnsi="Times New Roman" w:cs="Times New Roman"/>
          <w:sz w:val="24"/>
          <w:szCs w:val="24"/>
        </w:rPr>
        <w:t>Acesso em: 15 fev</w:t>
      </w:r>
      <w:r w:rsidR="00557CC9" w:rsidRPr="00AA16A5">
        <w:rPr>
          <w:rFonts w:ascii="Times New Roman" w:eastAsia="Roboto" w:hAnsi="Times New Roman" w:cs="Times New Roman"/>
          <w:sz w:val="24"/>
          <w:szCs w:val="24"/>
        </w:rPr>
        <w:t>.</w:t>
      </w:r>
      <w:r w:rsidRPr="00AA16A5">
        <w:rPr>
          <w:rFonts w:ascii="Times New Roman" w:eastAsia="Roboto" w:hAnsi="Times New Roman" w:cs="Times New Roman"/>
          <w:sz w:val="24"/>
          <w:szCs w:val="24"/>
        </w:rPr>
        <w:t xml:space="preserve"> 2022</w:t>
      </w:r>
    </w:p>
    <w:p w14:paraId="34684490" w14:textId="77777777" w:rsidR="00124ADB" w:rsidRPr="00AA16A5" w:rsidRDefault="00124ADB" w:rsidP="00470DFC">
      <w:pPr>
        <w:spacing w:line="240" w:lineRule="auto"/>
        <w:rPr>
          <w:rFonts w:ascii="Times New Roman" w:eastAsia="Roboto" w:hAnsi="Times New Roman" w:cs="Times New Roman"/>
          <w:sz w:val="24"/>
          <w:szCs w:val="24"/>
          <w:highlight w:val="white"/>
        </w:rPr>
      </w:pPr>
    </w:p>
    <w:p w14:paraId="34684491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JANOWSKI, Tomasz. Digital government evolution: From transformation to contextualization.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Government information quarterly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, v. 32, n. 3, p. 221-236, 2015.</w:t>
      </w:r>
    </w:p>
    <w:p w14:paraId="34684492" w14:textId="5263A646" w:rsidR="00124ADB" w:rsidRPr="00010EAB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JASMIN, Marcos de Castro. </w:t>
      </w:r>
      <w:r w:rsidRPr="00DC1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gestão arquivista de documentos digitais da Marinha do Brasil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>: um estudo de caso. 2016. Dissertação (Mestrado Profissional em Gestão de Documentos e Arquivos)</w:t>
      </w:r>
      <w:r w:rsidR="00DC2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Estado do Rio de Janeiro</w:t>
      </w:r>
      <w:r w:rsidRPr="00010EAB">
        <w:rPr>
          <w:rFonts w:ascii="Times New Roman" w:hAnsi="Times New Roman" w:cs="Times New Roman"/>
          <w:sz w:val="24"/>
          <w:szCs w:val="24"/>
          <w:highlight w:val="white"/>
        </w:rPr>
        <w:t xml:space="preserve">. Disponível em: </w:t>
      </w:r>
      <w:hyperlink r:id="rId17">
        <w:r w:rsidRPr="00010EAB">
          <w:rPr>
            <w:rStyle w:val="LinkdaInternet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http://www.repositorio-bc.unirio.br:8080/xmlui/handle/unirio/11126?show=full</w:t>
        </w:r>
      </w:hyperlink>
      <w:r w:rsidRPr="00010EAB">
        <w:rPr>
          <w:rFonts w:ascii="Times New Roman" w:hAnsi="Times New Roman" w:cs="Times New Roman"/>
          <w:sz w:val="24"/>
          <w:szCs w:val="24"/>
        </w:rPr>
        <w:t>. Acesso em: 15 ago. 2020</w:t>
      </w:r>
    </w:p>
    <w:p w14:paraId="34684493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010EAB">
        <w:rPr>
          <w:rFonts w:ascii="Times New Roman" w:hAnsi="Times New Roman" w:cs="Times New Roman"/>
          <w:sz w:val="24"/>
          <w:szCs w:val="24"/>
          <w:highlight w:val="white"/>
        </w:rPr>
        <w:t>LACHECA</w:t>
      </w:r>
      <w:r w:rsidR="00557CC9" w:rsidRPr="00010EAB">
        <w:rPr>
          <w:rFonts w:ascii="Times New Roman" w:hAnsi="Times New Roman" w:cs="Times New Roman"/>
          <w:sz w:val="24"/>
          <w:szCs w:val="24"/>
          <w:highlight w:val="white"/>
        </w:rPr>
        <w:t>, D</w:t>
      </w:r>
      <w:r w:rsidRPr="00010EAB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010EAB">
        <w:rPr>
          <w:rFonts w:ascii="Times New Roman" w:hAnsi="Times New Roman" w:cs="Times New Roman"/>
          <w:b/>
          <w:sz w:val="24"/>
          <w:szCs w:val="24"/>
          <w:highlight w:val="white"/>
        </w:rPr>
        <w:t>Digital Business Transformation</w:t>
      </w:r>
      <w:r w:rsidRPr="00010EAB">
        <w:rPr>
          <w:rFonts w:ascii="Times New Roman" w:hAnsi="Times New Roman" w:cs="Times New Roman"/>
          <w:sz w:val="24"/>
          <w:szCs w:val="24"/>
          <w:highlight w:val="white"/>
        </w:rPr>
        <w:t xml:space="preserve">: A Government Perspective. 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Recuperado de Gartner: </w:t>
      </w:r>
      <w:r w:rsidRPr="00010EAB">
        <w:rPr>
          <w:rFonts w:ascii="Times New Roman" w:hAnsi="Times New Roman" w:cs="Times New Roman"/>
          <w:sz w:val="24"/>
          <w:szCs w:val="24"/>
          <w:highlight w:val="white"/>
        </w:rPr>
        <w:t>2018.</w:t>
      </w:r>
    </w:p>
    <w:p w14:paraId="34684494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MENKE, Fabiano. Assinaturas Digitais, certificados digitais, infra-estrutura de chaves públicas brasileira e a ICP alemã. 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Revista de Direito do Consumidor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, v. 12, n. 48, p. 17, 2003.</w:t>
      </w:r>
    </w:p>
    <w:p w14:paraId="34684495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MERGEL, Ines; EDELMANN, Noella; HAUG, Nathalie. 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 xml:space="preserve">Defining digital transformation: Results from expert interviews. 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Government information quarterly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, v. 36, n. 4, p. 101385, 2019.</w:t>
      </w:r>
    </w:p>
    <w:p w14:paraId="34684496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MONTEIRO, Luis Felipe. Desafios para a transformação digital no setor público brasileiro. 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Revista do TCU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, n. 145, p. 4-8, 2020.</w:t>
      </w:r>
    </w:p>
    <w:p w14:paraId="34684497" w14:textId="77777777" w:rsidR="00CA0912" w:rsidRPr="00DC1056" w:rsidRDefault="00CA0912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NEVES, Alice Santos Veloso; HEY, Muryel. Processo administrativo digital: maior celeridade e transparência? Fórum Administrativo [recurso eletrônico]: </w:t>
      </w:r>
      <w:r w:rsidRPr="00DC1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Direito Público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Belo Horizonte, v. 18, n. </w:t>
      </w:r>
      <w:r w:rsidR="00D40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203, jan. 2018. Disponível em: 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>https://dspace.almg.gov.br/retrieve/121244/Alice%2</w:t>
      </w:r>
      <w:r w:rsidR="00D40C66">
        <w:rPr>
          <w:rFonts w:ascii="Times New Roman" w:hAnsi="Times New Roman" w:cs="Times New Roman"/>
          <w:sz w:val="24"/>
          <w:szCs w:val="24"/>
          <w:shd w:val="clear" w:color="auto" w:fill="FFFFFF"/>
        </w:rPr>
        <w:t>0Santos%20Veloso%20Neves%20.pdf</w:t>
      </w:r>
      <w:r w:rsidR="00B1180D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10 ago.</w:t>
      </w:r>
      <w:r w:rsidR="00D40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Pr="00DC10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684498" w14:textId="77777777" w:rsidR="00874672" w:rsidRPr="00DC1056" w:rsidRDefault="00874672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010EAB">
        <w:rPr>
          <w:rFonts w:ascii="Times New Roman" w:hAnsi="Times New Roman" w:cs="Times New Roman"/>
          <w:sz w:val="24"/>
          <w:szCs w:val="24"/>
          <w:lang w:val="en-US"/>
        </w:rPr>
        <w:t>OECD, </w:t>
      </w:r>
      <w:r w:rsidRPr="00010EAB">
        <w:rPr>
          <w:rFonts w:ascii="Times New Roman" w:hAnsi="Times New Roman" w:cs="Times New Roman"/>
          <w:b/>
          <w:iCs/>
          <w:sz w:val="24"/>
          <w:szCs w:val="24"/>
          <w:lang w:val="en-US"/>
        </w:rPr>
        <w:t>Digital Government Review of Brazil</w:t>
      </w:r>
      <w:r w:rsidRPr="00010EAB">
        <w:rPr>
          <w:rFonts w:ascii="Times New Roman" w:hAnsi="Times New Roman" w:cs="Times New Roman"/>
          <w:iCs/>
          <w:sz w:val="24"/>
          <w:szCs w:val="24"/>
          <w:lang w:val="en-US"/>
        </w:rPr>
        <w:t>: Towards the Digital Transformation of the Public Sector</w:t>
      </w:r>
      <w:r w:rsidRPr="00010EAB">
        <w:rPr>
          <w:rFonts w:ascii="Times New Roman" w:hAnsi="Times New Roman" w:cs="Times New Roman"/>
          <w:sz w:val="24"/>
          <w:szCs w:val="24"/>
          <w:lang w:val="en-US"/>
        </w:rPr>
        <w:t xml:space="preserve">, OECD Digital Government Studies, OECD Publishing, Paris, 2018. Disponivel em: </w:t>
      </w:r>
      <w:r w:rsidR="00AE284E">
        <w:fldChar w:fldCharType="begin"/>
      </w:r>
      <w:bookmarkStart w:id="6" w:name="_GoBack"/>
      <w:r w:rsidR="00AE284E" w:rsidRPr="00AA16A5">
        <w:rPr>
          <w:lang w:val="en-US"/>
        </w:rPr>
        <w:instrText xml:space="preserve"> HYPERLINK "https://doi.org/10.1787/9789264307636-en" </w:instrText>
      </w:r>
      <w:bookmarkEnd w:id="6"/>
      <w:r w:rsidR="00AE284E">
        <w:fldChar w:fldCharType="separate"/>
      </w:r>
      <w:r w:rsidRPr="00010EAB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https://doi.org/10.1787/9789264307636-en</w:t>
      </w:r>
      <w:r w:rsidR="00AE284E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010EAB">
        <w:rPr>
          <w:rFonts w:ascii="Times New Roman" w:hAnsi="Times New Roman" w:cs="Times New Roman"/>
          <w:sz w:val="24"/>
          <w:szCs w:val="24"/>
          <w:lang w:val="en-US"/>
        </w:rPr>
        <w:t>. Acesso em: 10 out.2022</w:t>
      </w:r>
    </w:p>
    <w:p w14:paraId="34684499" w14:textId="1F5F2557" w:rsidR="00874672" w:rsidRPr="00DC1056" w:rsidRDefault="00874672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010EAB">
        <w:rPr>
          <w:rFonts w:ascii="Times New Roman" w:hAnsi="Times New Roman" w:cs="Times New Roman"/>
          <w:sz w:val="24"/>
          <w:szCs w:val="24"/>
          <w:lang w:val="en-US"/>
        </w:rPr>
        <w:t xml:space="preserve">OECD </w:t>
      </w:r>
      <w:r w:rsidRPr="00010EAB">
        <w:rPr>
          <w:rFonts w:ascii="Times New Roman" w:hAnsi="Times New Roman" w:cs="Times New Roman"/>
          <w:b/>
          <w:iCs/>
          <w:sz w:val="24"/>
          <w:szCs w:val="24"/>
          <w:lang w:val="en-US"/>
        </w:rPr>
        <w:t>Going Digital in Brazil</w:t>
      </w:r>
      <w:r w:rsidRPr="00010EA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10EAB">
        <w:rPr>
          <w:rFonts w:ascii="Times New Roman" w:hAnsi="Times New Roman" w:cs="Times New Roman"/>
          <w:sz w:val="24"/>
          <w:szCs w:val="24"/>
          <w:lang w:val="en-US"/>
        </w:rPr>
        <w:t xml:space="preserve"> OECD Reviews of Digital Transformation, OECD Publishing, Paris, (2020), Disponivel em:</w:t>
      </w:r>
      <w:r w:rsidR="00DC2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Pr="00010EA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https://doi.org/10.1787/e9bf7f8a-en</w:t>
        </w:r>
      </w:hyperlink>
      <w:r w:rsidRPr="00010EAB">
        <w:rPr>
          <w:rFonts w:ascii="Times New Roman" w:hAnsi="Times New Roman" w:cs="Times New Roman"/>
          <w:sz w:val="24"/>
          <w:szCs w:val="24"/>
          <w:lang w:val="en-US"/>
        </w:rPr>
        <w:t>. Acesso em: 10 out.2022</w:t>
      </w:r>
    </w:p>
    <w:p w14:paraId="3468449A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PARVIAINEN, Päivi et al. Tackling the digitalization challenge: how to benefit from digitalization in practice.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International journal of information systems and project management,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v.5, n. 1, p. 63-77, 2017.</w:t>
      </w:r>
    </w:p>
    <w:p w14:paraId="3468449B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>PRODANOV, Cleber Cristiano; FREITAS, Ernani Cesar</w:t>
      </w:r>
      <w:r w:rsidR="00DC2A89"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 de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Metodologia do trabalho científico: 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métodos e técnicas da pesquisa e do trabalho acadêmico</w:t>
      </w:r>
      <w:r w:rsidR="00557CC9"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EF7058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 ed. </w:t>
      </w:r>
      <w:r w:rsidRPr="00DC105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Feevale, 2013.</w:t>
      </w:r>
    </w:p>
    <w:p w14:paraId="3468449C" w14:textId="77777777" w:rsidR="00BA62AA" w:rsidRDefault="00BA62AA" w:rsidP="00470DFC">
      <w:pPr>
        <w:spacing w:line="240" w:lineRule="auto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010EAB">
        <w:rPr>
          <w:rFonts w:ascii="Times New Roman" w:eastAsia="Roboto" w:hAnsi="Times New Roman" w:cs="Times New Roman"/>
          <w:sz w:val="24"/>
          <w:szCs w:val="24"/>
          <w:lang w:val="en-US"/>
        </w:rPr>
        <w:t>ROGERS, David L. </w:t>
      </w:r>
      <w:r w:rsidRPr="00010EAB">
        <w:rPr>
          <w:rFonts w:ascii="Times New Roman" w:eastAsia="Roboto" w:hAnsi="Times New Roman" w:cs="Times New Roman"/>
          <w:b/>
          <w:bCs/>
          <w:sz w:val="24"/>
          <w:szCs w:val="24"/>
          <w:lang w:val="en-US"/>
        </w:rPr>
        <w:t xml:space="preserve">The digital transformation playbook: </w:t>
      </w:r>
      <w:r w:rsidRPr="00010EAB">
        <w:rPr>
          <w:rFonts w:ascii="Times New Roman" w:eastAsia="Roboto" w:hAnsi="Times New Roman" w:cs="Times New Roman"/>
          <w:bCs/>
          <w:sz w:val="24"/>
          <w:szCs w:val="24"/>
          <w:lang w:val="en-US"/>
        </w:rPr>
        <w:t>Rethink your business for the digital age</w:t>
      </w:r>
      <w:r w:rsidRPr="00010EAB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. </w:t>
      </w:r>
      <w:r w:rsidRPr="00BA62AA">
        <w:rPr>
          <w:rFonts w:ascii="Times New Roman" w:eastAsia="Roboto" w:hAnsi="Times New Roman" w:cs="Times New Roman"/>
          <w:sz w:val="24"/>
          <w:szCs w:val="24"/>
        </w:rPr>
        <w:t>Columbia University Press, 2016.</w:t>
      </w:r>
    </w:p>
    <w:p w14:paraId="3468449D" w14:textId="77777777" w:rsidR="00BA62AA" w:rsidRPr="00010EAB" w:rsidRDefault="00BA62AA" w:rsidP="00470DFC">
      <w:pPr>
        <w:spacing w:line="240" w:lineRule="auto"/>
        <w:rPr>
          <w:rFonts w:ascii="Times New Roman" w:eastAsia="Roboto" w:hAnsi="Times New Roman" w:cs="Times New Roman"/>
          <w:sz w:val="24"/>
          <w:szCs w:val="24"/>
          <w:highlight w:val="white"/>
        </w:rPr>
      </w:pPr>
    </w:p>
    <w:p w14:paraId="3468449E" w14:textId="77777777" w:rsidR="00124ADB" w:rsidRPr="00DC1056" w:rsidRDefault="00AA6534" w:rsidP="0047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SANO, Hironobu.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Laboratórios de inovação no setor público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: mapeamento e diagnóstico de experiências nacionais. </w:t>
      </w:r>
      <w:r w:rsidRPr="00DC1056">
        <w:rPr>
          <w:rFonts w:ascii="Times New Roman" w:eastAsia="Times New Roman" w:hAnsi="Times New Roman" w:cs="Times New Roman"/>
          <w:sz w:val="24"/>
          <w:szCs w:val="24"/>
        </w:rPr>
        <w:t>Escola Nacional de Administração Pública (Enap)</w:t>
      </w:r>
      <w:r w:rsidR="00EC5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2020.</w:t>
      </w:r>
    </w:p>
    <w:p w14:paraId="3468449F" w14:textId="77777777" w:rsidR="007D2BD9" w:rsidRPr="00DC1056" w:rsidRDefault="007D2BD9" w:rsidP="00470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844A0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SILVA, BrognoliTainarada; FERENHOF, Helio Aisenberg. Transformação digital no governo brasileiro: desafios, ações e perspectivas. Navus: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Revista de Gestão e Tecnologia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, n. 10, p. 73, 2020.</w:t>
      </w:r>
    </w:p>
    <w:p w14:paraId="346844A1" w14:textId="77777777" w:rsidR="00124ADB" w:rsidRPr="00010EAB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DC1056">
        <w:rPr>
          <w:rFonts w:ascii="Times New Roman" w:hAnsi="Times New Roman" w:cs="Times New Roman"/>
          <w:sz w:val="24"/>
          <w:szCs w:val="24"/>
        </w:rPr>
        <w:t xml:space="preserve">SOUZA, Natércia Cristiane Mendesde; NUNES, André. A evolução da transformação digital no setor público no Brasil, no período de 2000 a 2020. </w:t>
      </w:r>
      <w:r w:rsidRPr="00010EAB">
        <w:rPr>
          <w:rFonts w:ascii="Times New Roman" w:hAnsi="Times New Roman" w:cs="Times New Roman"/>
          <w:b/>
          <w:sz w:val="24"/>
          <w:szCs w:val="24"/>
        </w:rPr>
        <w:t>Universitas</w:t>
      </w:r>
      <w:r w:rsidRPr="00010EAB">
        <w:rPr>
          <w:rFonts w:ascii="Times New Roman" w:hAnsi="Times New Roman" w:cs="Times New Roman"/>
          <w:sz w:val="24"/>
          <w:szCs w:val="24"/>
        </w:rPr>
        <w:t>, n. 29, 2021.</w:t>
      </w:r>
    </w:p>
    <w:p w14:paraId="346844A2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SOUZA, Maria Tereza Saraivade; MACCARI, Emerson Antônio; VICENTE, Ismar. Impacto ambiental da tecnologia da informação.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 xml:space="preserve"> </w:t>
      </w:r>
      <w:r w:rsidRPr="00DD5A12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INMR-Innovation &amp; Management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 xml:space="preserve"> Review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>, v. 1, n. 2, p. 31-41, 2004.</w:t>
      </w:r>
    </w:p>
    <w:p w14:paraId="346844A3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TADEU, HUGO FERREIRA BRAGA; DUARTE, A. L. C. M.; CHEDE, C. T. Transformação Digital: perspectiva brasileira e busca da maturidade digital. </w:t>
      </w:r>
      <w:r w:rsidRPr="00DC1056"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Revista DOM.</w:t>
      </w:r>
      <w:r w:rsidRPr="00DC1056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Fundação Dom Cabral. Nova Lima, DOM, v. 11, n. 35, p. 32-37, 2018.</w:t>
      </w:r>
    </w:p>
    <w:p w14:paraId="346844A4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VIANA, Ana Cristina Aguilar. Transformação digital na administração pública: do governo eletrônico ao governo digital.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Revista Eurolatinoamericana de Derecho Administrativo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, v. 8, n. 1, p. 115-136, 2021.</w:t>
      </w:r>
    </w:p>
    <w:p w14:paraId="346844A5" w14:textId="77777777" w:rsidR="00124ADB" w:rsidRPr="00DC1056" w:rsidRDefault="00AA6534" w:rsidP="00470DFC">
      <w:pPr>
        <w:spacing w:after="240" w:line="24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 w:rsidRPr="00DC1056">
        <w:rPr>
          <w:rFonts w:ascii="Times New Roman" w:hAnsi="Times New Roman" w:cs="Times New Roman"/>
          <w:sz w:val="24"/>
          <w:szCs w:val="24"/>
          <w:highlight w:val="white"/>
        </w:rPr>
        <w:t xml:space="preserve">YIN, Robert K. Estudo de Caso-: </w:t>
      </w:r>
      <w:r w:rsidRPr="00DC1056">
        <w:rPr>
          <w:rFonts w:ascii="Times New Roman" w:hAnsi="Times New Roman" w:cs="Times New Roman"/>
          <w:b/>
          <w:sz w:val="24"/>
          <w:szCs w:val="24"/>
          <w:highlight w:val="white"/>
        </w:rPr>
        <w:t>Planejamento e métodos</w:t>
      </w:r>
      <w:r w:rsidRPr="00DC1056">
        <w:rPr>
          <w:rFonts w:ascii="Times New Roman" w:hAnsi="Times New Roman" w:cs="Times New Roman"/>
          <w:sz w:val="24"/>
          <w:szCs w:val="24"/>
          <w:highlight w:val="white"/>
        </w:rPr>
        <w:t>. Bookman editora, 2015.</w:t>
      </w:r>
    </w:p>
    <w:p w14:paraId="346844A6" w14:textId="77777777" w:rsidR="00CA0912" w:rsidRPr="00CA0912" w:rsidRDefault="00CA0912" w:rsidP="00470DFC">
      <w:pPr>
        <w:spacing w:after="240" w:line="240" w:lineRule="auto"/>
        <w:ind w:right="120"/>
        <w:rPr>
          <w:rStyle w:val="LinkdaInternet"/>
          <w:rFonts w:ascii="Times New Roman" w:eastAsia="Roboto" w:hAnsi="Times New Roman" w:cs="Times New Roman"/>
          <w:color w:val="FF0000"/>
          <w:sz w:val="24"/>
          <w:szCs w:val="24"/>
        </w:rPr>
      </w:pPr>
    </w:p>
    <w:sectPr w:rsidR="00CA0912" w:rsidRPr="00CA0912" w:rsidSect="00546572">
      <w:footerReference w:type="default" r:id="rId19"/>
      <w:footerReference w:type="first" r:id="rId20"/>
      <w:pgSz w:w="11906" w:h="16838"/>
      <w:pgMar w:top="1701" w:right="1134" w:bottom="1134" w:left="1701" w:header="720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70F12" w14:textId="77777777" w:rsidR="00BE76D6" w:rsidRDefault="00BE76D6">
      <w:pPr>
        <w:spacing w:line="240" w:lineRule="auto"/>
      </w:pPr>
      <w:r>
        <w:separator/>
      </w:r>
    </w:p>
  </w:endnote>
  <w:endnote w:type="continuationSeparator" w:id="0">
    <w:p w14:paraId="6E4AA0A0" w14:textId="77777777" w:rsidR="00BE76D6" w:rsidRDefault="00BE7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274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6844B5" w14:textId="77777777" w:rsidR="00AE284E" w:rsidRPr="00AA0310" w:rsidRDefault="00AE284E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E30D6">
          <w:rPr>
            <w:rFonts w:ascii="Times New Roman" w:hAnsi="Times New Roman" w:cs="Times New Roman"/>
          </w:rPr>
          <w:fldChar w:fldCharType="begin"/>
        </w:r>
        <w:r w:rsidRPr="000E30D6">
          <w:rPr>
            <w:rFonts w:ascii="Times New Roman" w:hAnsi="Times New Roman" w:cs="Times New Roman"/>
          </w:rPr>
          <w:instrText>PAGE   \* MERGEFORMAT</w:instrText>
        </w:r>
        <w:r w:rsidRPr="000E30D6">
          <w:rPr>
            <w:rFonts w:ascii="Times New Roman" w:hAnsi="Times New Roman" w:cs="Times New Roman"/>
          </w:rPr>
          <w:fldChar w:fldCharType="separate"/>
        </w:r>
        <w:r w:rsidR="00AA16A5">
          <w:rPr>
            <w:rFonts w:ascii="Times New Roman" w:hAnsi="Times New Roman" w:cs="Times New Roman"/>
            <w:noProof/>
          </w:rPr>
          <w:t>2</w:t>
        </w:r>
        <w:r w:rsidRPr="000E30D6">
          <w:rPr>
            <w:rFonts w:ascii="Times New Roman" w:hAnsi="Times New Roman" w:cs="Times New Roman"/>
          </w:rPr>
          <w:fldChar w:fldCharType="end"/>
        </w:r>
      </w:p>
    </w:sdtContent>
  </w:sdt>
  <w:p w14:paraId="346844B6" w14:textId="77777777" w:rsidR="00AE284E" w:rsidRDefault="00AE28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76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6844B7" w14:textId="77777777" w:rsidR="00AE284E" w:rsidRPr="006361B8" w:rsidRDefault="00AE284E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6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1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6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6D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361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6844B8" w14:textId="77777777" w:rsidR="00AE284E" w:rsidRDefault="00AE28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6D04E" w14:textId="77777777" w:rsidR="00BE76D6" w:rsidRDefault="00BE76D6">
      <w:pPr>
        <w:spacing w:line="240" w:lineRule="auto"/>
      </w:pPr>
      <w:r>
        <w:separator/>
      </w:r>
    </w:p>
  </w:footnote>
  <w:footnote w:type="continuationSeparator" w:id="0">
    <w:p w14:paraId="7F4BBC96" w14:textId="77777777" w:rsidR="00BE76D6" w:rsidRDefault="00BE76D6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Accioli">
    <w15:presenceInfo w15:providerId="Windows Live" w15:userId="ef672da09e7df3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DB"/>
    <w:rsid w:val="00000D22"/>
    <w:rsid w:val="00010EAB"/>
    <w:rsid w:val="0005490B"/>
    <w:rsid w:val="000664CA"/>
    <w:rsid w:val="00077882"/>
    <w:rsid w:val="00085F5B"/>
    <w:rsid w:val="00094C86"/>
    <w:rsid w:val="000A4346"/>
    <w:rsid w:val="000B4F05"/>
    <w:rsid w:val="000B6C44"/>
    <w:rsid w:val="000D29BB"/>
    <w:rsid w:val="000E30D6"/>
    <w:rsid w:val="000F4156"/>
    <w:rsid w:val="00106AF2"/>
    <w:rsid w:val="001205EE"/>
    <w:rsid w:val="00123A47"/>
    <w:rsid w:val="00124ADB"/>
    <w:rsid w:val="00133653"/>
    <w:rsid w:val="00140500"/>
    <w:rsid w:val="00140869"/>
    <w:rsid w:val="00140968"/>
    <w:rsid w:val="00143C12"/>
    <w:rsid w:val="00177F3C"/>
    <w:rsid w:val="00190D28"/>
    <w:rsid w:val="00194D73"/>
    <w:rsid w:val="001A305C"/>
    <w:rsid w:val="001B04F5"/>
    <w:rsid w:val="001C0086"/>
    <w:rsid w:val="001D6BB4"/>
    <w:rsid w:val="001D6E57"/>
    <w:rsid w:val="001E52C7"/>
    <w:rsid w:val="00214556"/>
    <w:rsid w:val="00223ABD"/>
    <w:rsid w:val="00232BF5"/>
    <w:rsid w:val="002421C5"/>
    <w:rsid w:val="00254FC8"/>
    <w:rsid w:val="00261AB5"/>
    <w:rsid w:val="00275955"/>
    <w:rsid w:val="00280BCF"/>
    <w:rsid w:val="00286A40"/>
    <w:rsid w:val="00295BB7"/>
    <w:rsid w:val="00296E96"/>
    <w:rsid w:val="002B0113"/>
    <w:rsid w:val="002B5A17"/>
    <w:rsid w:val="002C3A1C"/>
    <w:rsid w:val="002C7137"/>
    <w:rsid w:val="002D546E"/>
    <w:rsid w:val="002D63EB"/>
    <w:rsid w:val="00310167"/>
    <w:rsid w:val="0032741A"/>
    <w:rsid w:val="003311CC"/>
    <w:rsid w:val="00331FE3"/>
    <w:rsid w:val="00341799"/>
    <w:rsid w:val="0034614A"/>
    <w:rsid w:val="00362AA3"/>
    <w:rsid w:val="00365B32"/>
    <w:rsid w:val="0036792F"/>
    <w:rsid w:val="00377A5F"/>
    <w:rsid w:val="00383EDB"/>
    <w:rsid w:val="0039037E"/>
    <w:rsid w:val="003905EF"/>
    <w:rsid w:val="003B2CAF"/>
    <w:rsid w:val="003B2D61"/>
    <w:rsid w:val="003B72A6"/>
    <w:rsid w:val="003C64DA"/>
    <w:rsid w:val="00440E94"/>
    <w:rsid w:val="00454156"/>
    <w:rsid w:val="00470DFC"/>
    <w:rsid w:val="00474149"/>
    <w:rsid w:val="004758FF"/>
    <w:rsid w:val="00475A01"/>
    <w:rsid w:val="004816D1"/>
    <w:rsid w:val="00485A72"/>
    <w:rsid w:val="00485F1A"/>
    <w:rsid w:val="004A0072"/>
    <w:rsid w:val="004D6D47"/>
    <w:rsid w:val="004E0622"/>
    <w:rsid w:val="00503646"/>
    <w:rsid w:val="00505113"/>
    <w:rsid w:val="0050647B"/>
    <w:rsid w:val="005106BD"/>
    <w:rsid w:val="00511BB2"/>
    <w:rsid w:val="00516AE7"/>
    <w:rsid w:val="005264FC"/>
    <w:rsid w:val="00534DFE"/>
    <w:rsid w:val="00546572"/>
    <w:rsid w:val="00557CC9"/>
    <w:rsid w:val="00561F93"/>
    <w:rsid w:val="00583BF3"/>
    <w:rsid w:val="00592893"/>
    <w:rsid w:val="005B17DF"/>
    <w:rsid w:val="005D0D1B"/>
    <w:rsid w:val="005D1585"/>
    <w:rsid w:val="005E6B64"/>
    <w:rsid w:val="005F6826"/>
    <w:rsid w:val="00600C31"/>
    <w:rsid w:val="006018DE"/>
    <w:rsid w:val="006128A5"/>
    <w:rsid w:val="00630A12"/>
    <w:rsid w:val="006361B8"/>
    <w:rsid w:val="006366C6"/>
    <w:rsid w:val="00637880"/>
    <w:rsid w:val="00651159"/>
    <w:rsid w:val="00655374"/>
    <w:rsid w:val="00662B59"/>
    <w:rsid w:val="006B5B43"/>
    <w:rsid w:val="006E2199"/>
    <w:rsid w:val="006F2CA2"/>
    <w:rsid w:val="00703CF4"/>
    <w:rsid w:val="00706147"/>
    <w:rsid w:val="0072081C"/>
    <w:rsid w:val="00725946"/>
    <w:rsid w:val="00733FBE"/>
    <w:rsid w:val="00734385"/>
    <w:rsid w:val="007453FE"/>
    <w:rsid w:val="007909C1"/>
    <w:rsid w:val="00792421"/>
    <w:rsid w:val="007B1593"/>
    <w:rsid w:val="007C714E"/>
    <w:rsid w:val="007D2BD9"/>
    <w:rsid w:val="007E2909"/>
    <w:rsid w:val="007E4D2D"/>
    <w:rsid w:val="007F083C"/>
    <w:rsid w:val="00813B87"/>
    <w:rsid w:val="00836F77"/>
    <w:rsid w:val="0084036E"/>
    <w:rsid w:val="00861E42"/>
    <w:rsid w:val="0086586F"/>
    <w:rsid w:val="00874672"/>
    <w:rsid w:val="008A0539"/>
    <w:rsid w:val="008C2AAD"/>
    <w:rsid w:val="008C5DFE"/>
    <w:rsid w:val="008E3AA3"/>
    <w:rsid w:val="008E3D5E"/>
    <w:rsid w:val="00902946"/>
    <w:rsid w:val="00932554"/>
    <w:rsid w:val="009A4B79"/>
    <w:rsid w:val="009A5609"/>
    <w:rsid w:val="009B10A5"/>
    <w:rsid w:val="009B3F9F"/>
    <w:rsid w:val="009B71C2"/>
    <w:rsid w:val="009F0DD8"/>
    <w:rsid w:val="009F0E92"/>
    <w:rsid w:val="009F2C02"/>
    <w:rsid w:val="00A0299E"/>
    <w:rsid w:val="00A07B37"/>
    <w:rsid w:val="00A20B2B"/>
    <w:rsid w:val="00A30290"/>
    <w:rsid w:val="00A32744"/>
    <w:rsid w:val="00A37A90"/>
    <w:rsid w:val="00A45BCA"/>
    <w:rsid w:val="00A53B5E"/>
    <w:rsid w:val="00A64112"/>
    <w:rsid w:val="00A64187"/>
    <w:rsid w:val="00A8545A"/>
    <w:rsid w:val="00A86BAC"/>
    <w:rsid w:val="00A9349B"/>
    <w:rsid w:val="00AA0310"/>
    <w:rsid w:val="00AA16A5"/>
    <w:rsid w:val="00AA6534"/>
    <w:rsid w:val="00AC7A98"/>
    <w:rsid w:val="00AD06DC"/>
    <w:rsid w:val="00AD09F6"/>
    <w:rsid w:val="00AE284E"/>
    <w:rsid w:val="00AF0BB8"/>
    <w:rsid w:val="00AF7A54"/>
    <w:rsid w:val="00B1180D"/>
    <w:rsid w:val="00B15164"/>
    <w:rsid w:val="00B22BAB"/>
    <w:rsid w:val="00B341D2"/>
    <w:rsid w:val="00B36569"/>
    <w:rsid w:val="00B40372"/>
    <w:rsid w:val="00B7124C"/>
    <w:rsid w:val="00B73A8E"/>
    <w:rsid w:val="00B754A4"/>
    <w:rsid w:val="00B829B9"/>
    <w:rsid w:val="00B85670"/>
    <w:rsid w:val="00BA1EA6"/>
    <w:rsid w:val="00BA62AA"/>
    <w:rsid w:val="00BA6DC8"/>
    <w:rsid w:val="00BB0A71"/>
    <w:rsid w:val="00BB1234"/>
    <w:rsid w:val="00BD4158"/>
    <w:rsid w:val="00BD613A"/>
    <w:rsid w:val="00BE0D1E"/>
    <w:rsid w:val="00BE76D6"/>
    <w:rsid w:val="00BF0BFC"/>
    <w:rsid w:val="00C00370"/>
    <w:rsid w:val="00C212DF"/>
    <w:rsid w:val="00C271B0"/>
    <w:rsid w:val="00C651DF"/>
    <w:rsid w:val="00C72103"/>
    <w:rsid w:val="00C75DA4"/>
    <w:rsid w:val="00C857BB"/>
    <w:rsid w:val="00C912E7"/>
    <w:rsid w:val="00CA0912"/>
    <w:rsid w:val="00CB0DAC"/>
    <w:rsid w:val="00CC75CA"/>
    <w:rsid w:val="00CD0C49"/>
    <w:rsid w:val="00CE1CD9"/>
    <w:rsid w:val="00CE3B6A"/>
    <w:rsid w:val="00D10958"/>
    <w:rsid w:val="00D12724"/>
    <w:rsid w:val="00D40C66"/>
    <w:rsid w:val="00D44646"/>
    <w:rsid w:val="00D458A2"/>
    <w:rsid w:val="00D56594"/>
    <w:rsid w:val="00D750A8"/>
    <w:rsid w:val="00D826F6"/>
    <w:rsid w:val="00D82B32"/>
    <w:rsid w:val="00DA1284"/>
    <w:rsid w:val="00DA469A"/>
    <w:rsid w:val="00DB65E6"/>
    <w:rsid w:val="00DC1056"/>
    <w:rsid w:val="00DC2A89"/>
    <w:rsid w:val="00DC2C32"/>
    <w:rsid w:val="00DD5A12"/>
    <w:rsid w:val="00DF6B51"/>
    <w:rsid w:val="00E05941"/>
    <w:rsid w:val="00E069D2"/>
    <w:rsid w:val="00E1505B"/>
    <w:rsid w:val="00E32D7E"/>
    <w:rsid w:val="00E37F6B"/>
    <w:rsid w:val="00E400D1"/>
    <w:rsid w:val="00E40F0D"/>
    <w:rsid w:val="00E424FE"/>
    <w:rsid w:val="00E46435"/>
    <w:rsid w:val="00E56186"/>
    <w:rsid w:val="00E70DF8"/>
    <w:rsid w:val="00E73784"/>
    <w:rsid w:val="00E830A3"/>
    <w:rsid w:val="00E96548"/>
    <w:rsid w:val="00EA3071"/>
    <w:rsid w:val="00EC5872"/>
    <w:rsid w:val="00ED05AC"/>
    <w:rsid w:val="00EE09CC"/>
    <w:rsid w:val="00EE3ED7"/>
    <w:rsid w:val="00EF7058"/>
    <w:rsid w:val="00F27E51"/>
    <w:rsid w:val="00F31B02"/>
    <w:rsid w:val="00F32914"/>
    <w:rsid w:val="00F404A6"/>
    <w:rsid w:val="00F4519C"/>
    <w:rsid w:val="00F46DA9"/>
    <w:rsid w:val="00F75F1B"/>
    <w:rsid w:val="00F80314"/>
    <w:rsid w:val="00FA75AB"/>
    <w:rsid w:val="00FD0E1A"/>
    <w:rsid w:val="00FD6FB7"/>
    <w:rsid w:val="00FE1EBC"/>
    <w:rsid w:val="00FE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4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72"/>
    <w:pPr>
      <w:spacing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621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21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21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21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212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21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064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14EC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14EC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14ECB"/>
    <w:rPr>
      <w:b/>
      <w:bCs/>
      <w:sz w:val="20"/>
      <w:szCs w:val="20"/>
    </w:rPr>
  </w:style>
  <w:style w:type="character" w:customStyle="1" w:styleId="cf01">
    <w:name w:val="cf01"/>
    <w:basedOn w:val="Fontepargpadro"/>
    <w:qFormat/>
    <w:rsid w:val="009E47DA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087A4C"/>
    <w:rPr>
      <w:color w:val="0000FF" w:themeColor="hyperlink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unhideWhenUsed/>
    <w:qFormat/>
    <w:rsid w:val="00087A4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60E92"/>
  </w:style>
  <w:style w:type="character" w:customStyle="1" w:styleId="RodapChar">
    <w:name w:val="Rodapé Char"/>
    <w:basedOn w:val="Fontepargpadro"/>
    <w:link w:val="Rodap"/>
    <w:uiPriority w:val="99"/>
    <w:qFormat/>
    <w:rsid w:val="00760E92"/>
  </w:style>
  <w:style w:type="character" w:customStyle="1" w:styleId="Ttulo1Char">
    <w:name w:val="Título 1 Char"/>
    <w:basedOn w:val="Fontepargpadro"/>
    <w:link w:val="Ttulo1"/>
    <w:uiPriority w:val="9"/>
    <w:qFormat/>
    <w:rsid w:val="001D3BBD"/>
    <w:rPr>
      <w:sz w:val="40"/>
      <w:szCs w:val="40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D3BBD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uiPriority w:val="10"/>
    <w:qFormat/>
    <w:rsid w:val="0086212A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546572"/>
    <w:pPr>
      <w:spacing w:after="140"/>
    </w:pPr>
  </w:style>
  <w:style w:type="paragraph" w:styleId="Lista">
    <w:name w:val="List"/>
    <w:basedOn w:val="Corpodetexto"/>
    <w:rsid w:val="00546572"/>
    <w:rPr>
      <w:rFonts w:cs="Lucida Sans"/>
    </w:rPr>
  </w:style>
  <w:style w:type="paragraph" w:styleId="Legenda">
    <w:name w:val="caption"/>
    <w:basedOn w:val="Normal"/>
    <w:qFormat/>
    <w:rsid w:val="005465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46572"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rsid w:val="0086212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832D46"/>
    <w:pPr>
      <w:spacing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06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14EC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14ECB"/>
    <w:rPr>
      <w:b/>
      <w:bCs/>
    </w:rPr>
  </w:style>
  <w:style w:type="paragraph" w:customStyle="1" w:styleId="CabealhoeRodap">
    <w:name w:val="Cabeçalho e Rodapé"/>
    <w:basedOn w:val="Normal"/>
    <w:qFormat/>
    <w:rsid w:val="00546572"/>
  </w:style>
  <w:style w:type="paragraph" w:styleId="Cabealho">
    <w:name w:val="header"/>
    <w:basedOn w:val="Normal"/>
    <w:link w:val="CabealhoChar"/>
    <w:uiPriority w:val="99"/>
    <w:unhideWhenUsed/>
    <w:rsid w:val="00760E92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760E92"/>
    <w:pPr>
      <w:tabs>
        <w:tab w:val="center" w:pos="4252"/>
        <w:tab w:val="right" w:pos="8504"/>
      </w:tabs>
      <w:spacing w:line="240" w:lineRule="auto"/>
    </w:pPr>
  </w:style>
  <w:style w:type="paragraph" w:customStyle="1" w:styleId="Default">
    <w:name w:val="Default"/>
    <w:qFormat/>
    <w:rsid w:val="002B609D"/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86212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21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4D7559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7Colorida-nfase21">
    <w:name w:val="Tabela de Grade 7 Colorida - Ênfase 21"/>
    <w:basedOn w:val="Tabelanormal"/>
    <w:uiPriority w:val="52"/>
    <w:rsid w:val="004D755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C0504D" w:themeColor="accent2"/>
        </w:tcBorders>
      </w:tcPr>
    </w:tblStylePr>
    <w:tblStylePr w:type="nwCell">
      <w:tblPr/>
      <w:tcPr>
        <w:tcBorders>
          <w:bottom w:val="single" w:sz="4" w:space="0" w:color="C0504D" w:themeColor="accent2"/>
        </w:tcBorders>
      </w:tcPr>
    </w:tblStylePr>
    <w:tblStylePr w:type="seCell">
      <w:tblPr/>
      <w:tcPr>
        <w:tcBorders>
          <w:top w:val="single" w:sz="4" w:space="0" w:color="C0504D" w:themeColor="accent2"/>
        </w:tcBorders>
      </w:tcPr>
    </w:tblStylePr>
    <w:tblStylePr w:type="swCell">
      <w:tblPr/>
      <w:tcPr>
        <w:tcBorders>
          <w:top w:val="single" w:sz="4" w:space="0" w:color="C0504D" w:themeColor="accent2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C549B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customStyle="1" w:styleId="TabeladeLista4-nfase11">
    <w:name w:val="Tabela de Lista 4 - Ênfase 11"/>
    <w:basedOn w:val="Tabelanormal"/>
    <w:uiPriority w:val="49"/>
    <w:rsid w:val="00C549B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C549B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CA0912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11BB2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72"/>
    <w:pPr>
      <w:spacing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621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21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21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21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212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21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064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14EC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14EC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14ECB"/>
    <w:rPr>
      <w:b/>
      <w:bCs/>
      <w:sz w:val="20"/>
      <w:szCs w:val="20"/>
    </w:rPr>
  </w:style>
  <w:style w:type="character" w:customStyle="1" w:styleId="cf01">
    <w:name w:val="cf01"/>
    <w:basedOn w:val="Fontepargpadro"/>
    <w:qFormat/>
    <w:rsid w:val="009E47DA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087A4C"/>
    <w:rPr>
      <w:color w:val="0000FF" w:themeColor="hyperlink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unhideWhenUsed/>
    <w:qFormat/>
    <w:rsid w:val="00087A4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60E92"/>
  </w:style>
  <w:style w:type="character" w:customStyle="1" w:styleId="RodapChar">
    <w:name w:val="Rodapé Char"/>
    <w:basedOn w:val="Fontepargpadro"/>
    <w:link w:val="Rodap"/>
    <w:uiPriority w:val="99"/>
    <w:qFormat/>
    <w:rsid w:val="00760E92"/>
  </w:style>
  <w:style w:type="character" w:customStyle="1" w:styleId="Ttulo1Char">
    <w:name w:val="Título 1 Char"/>
    <w:basedOn w:val="Fontepargpadro"/>
    <w:link w:val="Ttulo1"/>
    <w:uiPriority w:val="9"/>
    <w:qFormat/>
    <w:rsid w:val="001D3BBD"/>
    <w:rPr>
      <w:sz w:val="40"/>
      <w:szCs w:val="40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D3BBD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uiPriority w:val="10"/>
    <w:qFormat/>
    <w:rsid w:val="0086212A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546572"/>
    <w:pPr>
      <w:spacing w:after="140"/>
    </w:pPr>
  </w:style>
  <w:style w:type="paragraph" w:styleId="Lista">
    <w:name w:val="List"/>
    <w:basedOn w:val="Corpodetexto"/>
    <w:rsid w:val="00546572"/>
    <w:rPr>
      <w:rFonts w:cs="Lucida Sans"/>
    </w:rPr>
  </w:style>
  <w:style w:type="paragraph" w:styleId="Legenda">
    <w:name w:val="caption"/>
    <w:basedOn w:val="Normal"/>
    <w:qFormat/>
    <w:rsid w:val="005465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46572"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rsid w:val="0086212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832D46"/>
    <w:pPr>
      <w:spacing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06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14EC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14ECB"/>
    <w:rPr>
      <w:b/>
      <w:bCs/>
    </w:rPr>
  </w:style>
  <w:style w:type="paragraph" w:customStyle="1" w:styleId="CabealhoeRodap">
    <w:name w:val="Cabeçalho e Rodapé"/>
    <w:basedOn w:val="Normal"/>
    <w:qFormat/>
    <w:rsid w:val="00546572"/>
  </w:style>
  <w:style w:type="paragraph" w:styleId="Cabealho">
    <w:name w:val="header"/>
    <w:basedOn w:val="Normal"/>
    <w:link w:val="CabealhoChar"/>
    <w:uiPriority w:val="99"/>
    <w:unhideWhenUsed/>
    <w:rsid w:val="00760E92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760E92"/>
    <w:pPr>
      <w:tabs>
        <w:tab w:val="center" w:pos="4252"/>
        <w:tab w:val="right" w:pos="8504"/>
      </w:tabs>
      <w:spacing w:line="240" w:lineRule="auto"/>
    </w:pPr>
  </w:style>
  <w:style w:type="paragraph" w:customStyle="1" w:styleId="Default">
    <w:name w:val="Default"/>
    <w:qFormat/>
    <w:rsid w:val="002B609D"/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86212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21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4D7559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7Colorida-nfase21">
    <w:name w:val="Tabela de Grade 7 Colorida - Ênfase 21"/>
    <w:basedOn w:val="Tabelanormal"/>
    <w:uiPriority w:val="52"/>
    <w:rsid w:val="004D755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C0504D" w:themeColor="accent2"/>
        </w:tcBorders>
      </w:tcPr>
    </w:tblStylePr>
    <w:tblStylePr w:type="nwCell">
      <w:tblPr/>
      <w:tcPr>
        <w:tcBorders>
          <w:bottom w:val="single" w:sz="4" w:space="0" w:color="C0504D" w:themeColor="accent2"/>
        </w:tcBorders>
      </w:tcPr>
    </w:tblStylePr>
    <w:tblStylePr w:type="seCell">
      <w:tblPr/>
      <w:tcPr>
        <w:tcBorders>
          <w:top w:val="single" w:sz="4" w:space="0" w:color="C0504D" w:themeColor="accent2"/>
        </w:tcBorders>
      </w:tcPr>
    </w:tblStylePr>
    <w:tblStylePr w:type="swCell">
      <w:tblPr/>
      <w:tcPr>
        <w:tcBorders>
          <w:top w:val="single" w:sz="4" w:space="0" w:color="C0504D" w:themeColor="accent2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C549B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customStyle="1" w:styleId="TabeladeLista4-nfase11">
    <w:name w:val="Tabela de Lista 4 - Ênfase 11"/>
    <w:basedOn w:val="Tabelanormal"/>
    <w:uiPriority w:val="49"/>
    <w:rsid w:val="00C549B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C549B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CA0912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11BB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adm.mb/sites/default/files/Assinaturas-Digitais-010.01.pdf" TargetMode="External"/><Relationship Id="rId18" Type="http://schemas.openxmlformats.org/officeDocument/2006/relationships/hyperlink" Target="https://doi.org/10.1787/e9bf7f8a-e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repositorio-bc.unirio.br:8080/xmlui/handle/unirio/11126?show=fu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defesa.mil.br/orientacoes/DOU%20Nr%20188_29%20Set%2017%20_%20Pag%2031_32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ore.ac.uk/download/pdf/61003821.pdf" TargetMode="Externa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c.europa.eu/digital-single-market/en/news/powering-european-public-sector-innovation-towards-new-architectu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C490-A537-4496-AE66-8F3BC5F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8649</Words>
  <Characters>46708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Arlyson Salles</dc:creator>
  <cp:lastModifiedBy>cianb-15</cp:lastModifiedBy>
  <cp:revision>2</cp:revision>
  <cp:lastPrinted>2022-11-09T21:59:00Z</cp:lastPrinted>
  <dcterms:created xsi:type="dcterms:W3CDTF">2023-10-09T12:47:00Z</dcterms:created>
  <dcterms:modified xsi:type="dcterms:W3CDTF">2023-10-09T12:47:00Z</dcterms:modified>
  <dc:language>pt-BR</dc:language>
</cp:coreProperties>
</file>