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6272" w14:textId="77777777" w:rsidR="00842C1F" w:rsidRPr="009545B7" w:rsidRDefault="00842C1F" w:rsidP="00000EC1">
      <w:pPr>
        <w:spacing w:after="0" w:line="240" w:lineRule="auto"/>
        <w:ind w:firstLine="0"/>
        <w:rPr>
          <w:rFonts w:ascii="Times New Roman" w:hAnsi="Times New Roman" w:cs="Times New Roman"/>
          <w:color w:val="000000" w:themeColor="text1"/>
          <w:sz w:val="24"/>
          <w:szCs w:val="24"/>
        </w:rPr>
      </w:pPr>
    </w:p>
    <w:p w14:paraId="49A28B6D" w14:textId="6ECBE4B5" w:rsidR="00842C1F" w:rsidRDefault="00842C1F" w:rsidP="00000EC1">
      <w:pPr>
        <w:spacing w:after="0" w:line="240" w:lineRule="auto"/>
        <w:ind w:firstLine="0"/>
        <w:jc w:val="center"/>
        <w:rPr>
          <w:rFonts w:ascii="Times New Roman" w:hAnsi="Times New Roman" w:cs="Times New Roman"/>
          <w:b/>
          <w:bCs/>
          <w:color w:val="000000" w:themeColor="text1"/>
          <w:sz w:val="24"/>
          <w:szCs w:val="24"/>
        </w:rPr>
      </w:pPr>
      <w:r w:rsidRPr="009545B7">
        <w:rPr>
          <w:rFonts w:ascii="Times New Roman" w:hAnsi="Times New Roman" w:cs="Times New Roman"/>
          <w:b/>
          <w:bCs/>
          <w:color w:val="000000" w:themeColor="text1"/>
          <w:sz w:val="24"/>
          <w:szCs w:val="24"/>
        </w:rPr>
        <w:t>G</w:t>
      </w:r>
      <w:r w:rsidR="00CF7554" w:rsidRPr="009545B7">
        <w:rPr>
          <w:rFonts w:ascii="Times New Roman" w:hAnsi="Times New Roman" w:cs="Times New Roman"/>
          <w:b/>
          <w:bCs/>
          <w:color w:val="000000" w:themeColor="text1"/>
          <w:sz w:val="24"/>
          <w:szCs w:val="24"/>
        </w:rPr>
        <w:t>overnança</w:t>
      </w:r>
      <w:r w:rsidRPr="009545B7">
        <w:rPr>
          <w:rFonts w:ascii="Times New Roman" w:hAnsi="Times New Roman" w:cs="Times New Roman"/>
          <w:b/>
          <w:bCs/>
          <w:color w:val="000000" w:themeColor="text1"/>
          <w:sz w:val="24"/>
          <w:szCs w:val="24"/>
        </w:rPr>
        <w:t xml:space="preserve"> P</w:t>
      </w:r>
      <w:r w:rsidR="00CF7554" w:rsidRPr="009545B7">
        <w:rPr>
          <w:rFonts w:ascii="Times New Roman" w:hAnsi="Times New Roman" w:cs="Times New Roman"/>
          <w:b/>
          <w:bCs/>
          <w:color w:val="000000" w:themeColor="text1"/>
          <w:sz w:val="24"/>
          <w:szCs w:val="24"/>
        </w:rPr>
        <w:t>ública</w:t>
      </w:r>
      <w:r w:rsidRPr="009545B7">
        <w:rPr>
          <w:rFonts w:ascii="Times New Roman" w:hAnsi="Times New Roman" w:cs="Times New Roman"/>
          <w:b/>
          <w:bCs/>
          <w:color w:val="000000" w:themeColor="text1"/>
          <w:sz w:val="24"/>
          <w:szCs w:val="24"/>
        </w:rPr>
        <w:t xml:space="preserve"> </w:t>
      </w:r>
      <w:r w:rsidR="00CF7554" w:rsidRPr="009545B7">
        <w:rPr>
          <w:rFonts w:ascii="Times New Roman" w:hAnsi="Times New Roman" w:cs="Times New Roman"/>
          <w:b/>
          <w:bCs/>
          <w:color w:val="000000" w:themeColor="text1"/>
          <w:sz w:val="24"/>
          <w:szCs w:val="24"/>
        </w:rPr>
        <w:t>e Transparência</w:t>
      </w:r>
      <w:r w:rsidRPr="009545B7">
        <w:rPr>
          <w:rFonts w:ascii="Times New Roman" w:hAnsi="Times New Roman" w:cs="Times New Roman"/>
          <w:b/>
          <w:bCs/>
          <w:color w:val="000000" w:themeColor="text1"/>
          <w:sz w:val="24"/>
          <w:szCs w:val="24"/>
        </w:rPr>
        <w:t xml:space="preserve"> </w:t>
      </w:r>
      <w:r w:rsidR="00CF7554" w:rsidRPr="009545B7">
        <w:rPr>
          <w:rFonts w:ascii="Times New Roman" w:hAnsi="Times New Roman" w:cs="Times New Roman"/>
          <w:b/>
          <w:bCs/>
          <w:color w:val="000000" w:themeColor="text1"/>
          <w:sz w:val="24"/>
          <w:szCs w:val="24"/>
        </w:rPr>
        <w:t>no âmbito do Setor de Defesa</w:t>
      </w:r>
      <w:r w:rsidRPr="009545B7">
        <w:rPr>
          <w:rFonts w:ascii="Times New Roman" w:hAnsi="Times New Roman" w:cs="Times New Roman"/>
          <w:b/>
          <w:bCs/>
          <w:color w:val="000000" w:themeColor="text1"/>
          <w:sz w:val="24"/>
          <w:szCs w:val="24"/>
        </w:rPr>
        <w:t>: U</w:t>
      </w:r>
      <w:r w:rsidR="00CF7554" w:rsidRPr="009545B7">
        <w:rPr>
          <w:rFonts w:ascii="Times New Roman" w:hAnsi="Times New Roman" w:cs="Times New Roman"/>
          <w:b/>
          <w:bCs/>
          <w:color w:val="000000" w:themeColor="text1"/>
          <w:sz w:val="24"/>
          <w:szCs w:val="24"/>
        </w:rPr>
        <w:t>ma</w:t>
      </w:r>
      <w:r w:rsidRPr="009545B7">
        <w:rPr>
          <w:rFonts w:ascii="Times New Roman" w:hAnsi="Times New Roman" w:cs="Times New Roman"/>
          <w:b/>
          <w:bCs/>
          <w:color w:val="000000" w:themeColor="text1"/>
          <w:sz w:val="24"/>
          <w:szCs w:val="24"/>
        </w:rPr>
        <w:t xml:space="preserve"> </w:t>
      </w:r>
      <w:r w:rsidR="00CF7554" w:rsidRPr="009545B7">
        <w:rPr>
          <w:rFonts w:ascii="Times New Roman" w:hAnsi="Times New Roman" w:cs="Times New Roman"/>
          <w:b/>
          <w:bCs/>
          <w:color w:val="000000" w:themeColor="text1"/>
          <w:sz w:val="24"/>
          <w:szCs w:val="24"/>
        </w:rPr>
        <w:t>revisão</w:t>
      </w:r>
      <w:r w:rsidRPr="009545B7">
        <w:rPr>
          <w:rFonts w:ascii="Times New Roman" w:hAnsi="Times New Roman" w:cs="Times New Roman"/>
          <w:b/>
          <w:bCs/>
          <w:color w:val="000000" w:themeColor="text1"/>
          <w:sz w:val="24"/>
          <w:szCs w:val="24"/>
        </w:rPr>
        <w:t xml:space="preserve"> </w:t>
      </w:r>
      <w:r w:rsidR="00CF7554" w:rsidRPr="009545B7">
        <w:rPr>
          <w:rFonts w:ascii="Times New Roman" w:hAnsi="Times New Roman" w:cs="Times New Roman"/>
          <w:b/>
          <w:bCs/>
          <w:color w:val="000000" w:themeColor="text1"/>
          <w:sz w:val="24"/>
          <w:szCs w:val="24"/>
        </w:rPr>
        <w:t>sistemática da literatura</w:t>
      </w:r>
    </w:p>
    <w:p w14:paraId="1F11E62C" w14:textId="77777777" w:rsidR="00305237" w:rsidRPr="009545B7" w:rsidRDefault="00305237" w:rsidP="00000EC1">
      <w:pPr>
        <w:spacing w:after="0" w:line="240" w:lineRule="auto"/>
        <w:ind w:firstLine="0"/>
        <w:jc w:val="center"/>
        <w:rPr>
          <w:rFonts w:ascii="Times New Roman" w:hAnsi="Times New Roman" w:cs="Times New Roman"/>
          <w:b/>
          <w:bCs/>
          <w:color w:val="000000" w:themeColor="text1"/>
          <w:sz w:val="24"/>
          <w:szCs w:val="24"/>
        </w:rPr>
      </w:pPr>
    </w:p>
    <w:p w14:paraId="1DAB1893" w14:textId="698221DE" w:rsidR="001C7372" w:rsidRPr="009545B7" w:rsidRDefault="004B58C7" w:rsidP="00305237">
      <w:pPr>
        <w:pStyle w:val="Default"/>
        <w:jc w:val="center"/>
        <w:rPr>
          <w:color w:val="000000" w:themeColor="text1"/>
        </w:rPr>
      </w:pPr>
      <w:r w:rsidRPr="009545B7">
        <w:t>C</w:t>
      </w:r>
      <w:r w:rsidR="001C7372" w:rsidRPr="009545B7">
        <w:t>-</w:t>
      </w:r>
      <w:r w:rsidRPr="009545B7">
        <w:t>ApA-</w:t>
      </w:r>
      <w:r w:rsidR="001C7372" w:rsidRPr="009545B7">
        <w:t>IM-</w:t>
      </w:r>
      <w:r w:rsidRPr="009545B7">
        <w:t>2022</w:t>
      </w:r>
      <w:r w:rsidR="001C7372" w:rsidRPr="009545B7">
        <w:t>-</w:t>
      </w:r>
      <w:r w:rsidRPr="009545B7">
        <w:rPr>
          <w:color w:val="000000" w:themeColor="text1"/>
        </w:rPr>
        <w:t>016</w:t>
      </w:r>
    </w:p>
    <w:p w14:paraId="405A42C0" w14:textId="77777777" w:rsidR="00164C5A" w:rsidRPr="009545B7" w:rsidRDefault="00164C5A" w:rsidP="00305237">
      <w:pPr>
        <w:pStyle w:val="Default"/>
        <w:jc w:val="center"/>
        <w:rPr>
          <w:color w:val="000000" w:themeColor="text1"/>
        </w:rPr>
      </w:pPr>
    </w:p>
    <w:p w14:paraId="4E6DE823" w14:textId="78D8C060" w:rsidR="00A65BE2" w:rsidRPr="00305237" w:rsidRDefault="00842C1F" w:rsidP="00305237">
      <w:pPr>
        <w:spacing w:after="0" w:line="240" w:lineRule="auto"/>
        <w:ind w:firstLine="0"/>
        <w:jc w:val="center"/>
        <w:rPr>
          <w:rFonts w:ascii="Times New Roman" w:hAnsi="Times New Roman" w:cs="Times New Roman"/>
          <w:b/>
          <w:bCs/>
          <w:color w:val="000000" w:themeColor="text1"/>
          <w:sz w:val="24"/>
          <w:szCs w:val="24"/>
        </w:rPr>
      </w:pPr>
      <w:r w:rsidRPr="00305237">
        <w:rPr>
          <w:rFonts w:ascii="Times New Roman" w:hAnsi="Times New Roman" w:cs="Times New Roman"/>
          <w:b/>
          <w:bCs/>
          <w:color w:val="000000" w:themeColor="text1"/>
          <w:sz w:val="24"/>
          <w:szCs w:val="24"/>
        </w:rPr>
        <w:t>RESUMO</w:t>
      </w:r>
    </w:p>
    <w:p w14:paraId="2E5923FA" w14:textId="77777777" w:rsidR="00511457" w:rsidRPr="009545B7" w:rsidRDefault="00511457" w:rsidP="00511457">
      <w:pPr>
        <w:spacing w:after="0" w:line="240" w:lineRule="auto"/>
        <w:ind w:firstLine="0"/>
        <w:jc w:val="center"/>
        <w:rPr>
          <w:rFonts w:ascii="Times New Roman" w:hAnsi="Times New Roman" w:cs="Times New Roman"/>
          <w:b/>
          <w:bCs/>
          <w:color w:val="000000" w:themeColor="text1"/>
        </w:rPr>
      </w:pPr>
    </w:p>
    <w:p w14:paraId="48AE7F57" w14:textId="38EE1B3E" w:rsidR="0089500F" w:rsidRPr="009545B7" w:rsidRDefault="00842C1F" w:rsidP="001C7372">
      <w:pPr>
        <w:spacing w:after="0" w:line="240" w:lineRule="auto"/>
        <w:ind w:firstLine="0"/>
        <w:rPr>
          <w:rFonts w:ascii="Times New Roman" w:hAnsi="Times New Roman" w:cs="Times New Roman"/>
          <w:b/>
          <w:bCs/>
          <w:color w:val="000000" w:themeColor="text1"/>
        </w:rPr>
      </w:pPr>
      <w:r w:rsidRPr="009545B7">
        <w:rPr>
          <w:rFonts w:ascii="Times New Roman" w:hAnsi="Times New Roman" w:cs="Times New Roman"/>
          <w:color w:val="000000" w:themeColor="text1"/>
          <w:sz w:val="24"/>
          <w:szCs w:val="24"/>
        </w:rPr>
        <w:t xml:space="preserve">Existem diversas definições atinentes à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na literatura. Entretanto, para fins de contextualização, sinteticamente, </w:t>
      </w:r>
      <w:r w:rsidR="00BB7974" w:rsidRPr="009545B7">
        <w:rPr>
          <w:rFonts w:ascii="Times New Roman" w:hAnsi="Times New Roman" w:cs="Times New Roman"/>
          <w:color w:val="000000" w:themeColor="text1"/>
          <w:sz w:val="24"/>
          <w:szCs w:val="24"/>
        </w:rPr>
        <w:t>ela representa os processos que englobam melhoria e direcionamento eficientes de organizações privadas e públicas.</w:t>
      </w:r>
      <w:r w:rsidR="00BB7974" w:rsidRPr="009545B7">
        <w:rPr>
          <w:rFonts w:ascii="Times New Roman" w:hAnsi="Times New Roman" w:cs="Times New Roman"/>
          <w:color w:val="000000" w:themeColor="text1"/>
        </w:rPr>
        <w:t xml:space="preserve"> </w:t>
      </w:r>
      <w:r w:rsidR="00BB7974" w:rsidRPr="009545B7">
        <w:rPr>
          <w:rFonts w:ascii="Times New Roman" w:hAnsi="Times New Roman" w:cs="Times New Roman"/>
          <w:color w:val="000000" w:themeColor="text1"/>
          <w:sz w:val="24"/>
          <w:szCs w:val="24"/>
        </w:rPr>
        <w:t xml:space="preserve">Nesse sentido, o presente artigo conceituou </w:t>
      </w:r>
      <w:r w:rsidR="00CF7554" w:rsidRPr="009545B7">
        <w:rPr>
          <w:rFonts w:ascii="Times New Roman" w:hAnsi="Times New Roman" w:cs="Times New Roman"/>
          <w:color w:val="000000" w:themeColor="text1"/>
          <w:sz w:val="24"/>
          <w:szCs w:val="24"/>
        </w:rPr>
        <w:t>G</w:t>
      </w:r>
      <w:r w:rsidR="00BB7974" w:rsidRPr="009545B7">
        <w:rPr>
          <w:rFonts w:ascii="Times New Roman" w:hAnsi="Times New Roman" w:cs="Times New Roman"/>
          <w:color w:val="000000" w:themeColor="text1"/>
          <w:sz w:val="24"/>
          <w:szCs w:val="24"/>
        </w:rPr>
        <w:t xml:space="preserve">overnança e </w:t>
      </w:r>
      <w:r w:rsidR="00CF7554" w:rsidRPr="009545B7">
        <w:rPr>
          <w:rFonts w:ascii="Times New Roman" w:hAnsi="Times New Roman" w:cs="Times New Roman"/>
          <w:color w:val="000000" w:themeColor="text1"/>
          <w:sz w:val="24"/>
          <w:szCs w:val="24"/>
        </w:rPr>
        <w:t>T</w:t>
      </w:r>
      <w:r w:rsidR="00BB7974" w:rsidRPr="009545B7">
        <w:rPr>
          <w:rFonts w:ascii="Times New Roman" w:hAnsi="Times New Roman" w:cs="Times New Roman"/>
          <w:color w:val="000000" w:themeColor="text1"/>
          <w:sz w:val="24"/>
          <w:szCs w:val="24"/>
        </w:rPr>
        <w:t>ransparência Pública, identificando vias de participação cidadã, como o Governo Aberto, e enquadrou suas definições no âmbito do Setor de Defesa, visando entender a relação entre estes conceitos. Nesse cenário, analisou-se aspectos e indicadores atinentes a</w:t>
      </w:r>
      <w:r w:rsidRPr="009545B7">
        <w:rPr>
          <w:rFonts w:ascii="Times New Roman" w:hAnsi="Times New Roman" w:cs="Times New Roman"/>
          <w:color w:val="000000" w:themeColor="text1"/>
          <w:sz w:val="24"/>
          <w:szCs w:val="24"/>
        </w:rPr>
        <w:t>o Ministério da Defesa (MD)</w:t>
      </w:r>
      <w:r w:rsidR="00BB7974" w:rsidRPr="009545B7">
        <w:rPr>
          <w:rFonts w:ascii="Times New Roman" w:hAnsi="Times New Roman" w:cs="Times New Roman"/>
          <w:color w:val="000000" w:themeColor="text1"/>
          <w:sz w:val="24"/>
          <w:szCs w:val="24"/>
        </w:rPr>
        <w:t>, o qual figura como intermediador entre as instituições de Defesa e a sociedade civil. Assim, o presente artigo constatou que a Transparência Pública contribui para a Governança em Defesa</w:t>
      </w:r>
      <w:r w:rsidR="00533353">
        <w:rPr>
          <w:rFonts w:ascii="Times New Roman" w:hAnsi="Times New Roman" w:cs="Times New Roman"/>
          <w:color w:val="000000" w:themeColor="text1"/>
          <w:sz w:val="24"/>
          <w:szCs w:val="24"/>
        </w:rPr>
        <w:t xml:space="preserve">, </w:t>
      </w:r>
      <w:r w:rsidR="00BB7974" w:rsidRPr="009545B7">
        <w:rPr>
          <w:rFonts w:ascii="Times New Roman" w:hAnsi="Times New Roman" w:cs="Times New Roman"/>
          <w:color w:val="000000" w:themeColor="text1"/>
          <w:sz w:val="24"/>
          <w:szCs w:val="24"/>
        </w:rPr>
        <w:t>responsável por guiar o alcance das metas governamentais efetivamente no Setor de Defesa</w:t>
      </w:r>
      <w:r w:rsidR="00533353">
        <w:rPr>
          <w:rFonts w:ascii="Times New Roman" w:hAnsi="Times New Roman" w:cs="Times New Roman"/>
          <w:color w:val="000000" w:themeColor="text1"/>
          <w:sz w:val="24"/>
          <w:szCs w:val="24"/>
        </w:rPr>
        <w:t xml:space="preserve">, </w:t>
      </w:r>
      <w:r w:rsidR="00BB7974" w:rsidRPr="009545B7">
        <w:rPr>
          <w:rFonts w:ascii="Times New Roman" w:hAnsi="Times New Roman" w:cs="Times New Roman"/>
          <w:color w:val="000000" w:themeColor="text1"/>
          <w:sz w:val="24"/>
          <w:szCs w:val="24"/>
        </w:rPr>
        <w:t>a partir de uma revisão sistemática da literatura seguida de uma análise de conteúdo.</w:t>
      </w:r>
    </w:p>
    <w:p w14:paraId="1D7F65C4" w14:textId="77777777" w:rsidR="001C7372" w:rsidRPr="009545B7" w:rsidRDefault="001C7372" w:rsidP="001C7372">
      <w:pPr>
        <w:spacing w:after="0" w:line="240" w:lineRule="auto"/>
        <w:ind w:firstLine="0"/>
        <w:rPr>
          <w:rFonts w:ascii="Times New Roman" w:hAnsi="Times New Roman" w:cs="Times New Roman"/>
          <w:b/>
          <w:bCs/>
          <w:color w:val="000000" w:themeColor="text1"/>
        </w:rPr>
      </w:pPr>
    </w:p>
    <w:p w14:paraId="7A95B648" w14:textId="3FF90371" w:rsidR="00F57610" w:rsidRDefault="00842C1F" w:rsidP="00F57610">
      <w:pPr>
        <w:autoSpaceDE w:val="0"/>
        <w:autoSpaceDN w:val="0"/>
        <w:adjustRightInd w:val="0"/>
        <w:spacing w:after="0" w:line="240" w:lineRule="auto"/>
        <w:ind w:firstLine="0"/>
        <w:rPr>
          <w:rFonts w:ascii="Times New Roman" w:hAnsi="Times New Roman" w:cs="Times New Roman"/>
          <w:color w:val="000000" w:themeColor="text1"/>
          <w:sz w:val="24"/>
          <w:szCs w:val="24"/>
        </w:rPr>
      </w:pPr>
      <w:r w:rsidRPr="009545B7">
        <w:rPr>
          <w:rFonts w:ascii="Times New Roman" w:hAnsi="Times New Roman" w:cs="Times New Roman"/>
          <w:b/>
          <w:bCs/>
          <w:color w:val="000000" w:themeColor="text1"/>
          <w:sz w:val="24"/>
          <w:szCs w:val="24"/>
        </w:rPr>
        <w:t>Palavras-chave:</w:t>
      </w:r>
      <w:r w:rsidRPr="009545B7">
        <w:rPr>
          <w:rFonts w:ascii="Times New Roman" w:hAnsi="Times New Roman" w:cs="Times New Roman"/>
          <w:color w:val="000000" w:themeColor="text1"/>
          <w:sz w:val="24"/>
          <w:szCs w:val="24"/>
        </w:rPr>
        <w:t xml:space="preserve"> </w:t>
      </w:r>
      <w:r w:rsidR="003D33A6" w:rsidRPr="009545B7">
        <w:rPr>
          <w:rFonts w:ascii="Times New Roman" w:hAnsi="Times New Roman" w:cs="Times New Roman"/>
          <w:color w:val="000000" w:themeColor="text1"/>
          <w:sz w:val="24"/>
          <w:szCs w:val="24"/>
        </w:rPr>
        <w:t>Governança em Defesa</w:t>
      </w:r>
      <w:r w:rsidR="003D33A6">
        <w:rPr>
          <w:rFonts w:ascii="Times New Roman" w:hAnsi="Times New Roman" w:cs="Times New Roman"/>
          <w:color w:val="000000" w:themeColor="text1"/>
          <w:sz w:val="24"/>
          <w:szCs w:val="24"/>
        </w:rPr>
        <w:t>.</w:t>
      </w:r>
      <w:r w:rsidR="003D33A6"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Governança Pública</w:t>
      </w:r>
      <w:r w:rsidR="00A95A6A" w:rsidRPr="009545B7">
        <w:rPr>
          <w:rFonts w:ascii="Times New Roman" w:hAnsi="Times New Roman" w:cs="Times New Roman"/>
          <w:color w:val="000000" w:themeColor="text1"/>
          <w:sz w:val="24"/>
          <w:szCs w:val="24"/>
        </w:rPr>
        <w:t>.</w:t>
      </w:r>
      <w:r w:rsidRPr="009545B7">
        <w:rPr>
          <w:rFonts w:ascii="Times New Roman" w:hAnsi="Times New Roman" w:cs="Times New Roman"/>
          <w:color w:val="000000" w:themeColor="text1"/>
          <w:sz w:val="24"/>
          <w:szCs w:val="24"/>
        </w:rPr>
        <w:t xml:space="preserve"> Setor de Defesa</w:t>
      </w:r>
      <w:r w:rsidR="00A95A6A" w:rsidRPr="009545B7">
        <w:rPr>
          <w:rFonts w:ascii="Times New Roman" w:hAnsi="Times New Roman" w:cs="Times New Roman"/>
          <w:color w:val="000000" w:themeColor="text1"/>
          <w:sz w:val="24"/>
          <w:szCs w:val="24"/>
        </w:rPr>
        <w:t>.</w:t>
      </w:r>
      <w:bookmarkStart w:id="0" w:name="_Toc118763480"/>
      <w:r w:rsidR="003D33A6" w:rsidRPr="003D33A6">
        <w:rPr>
          <w:rFonts w:ascii="Times New Roman" w:hAnsi="Times New Roman" w:cs="Times New Roman"/>
          <w:color w:val="000000" w:themeColor="text1"/>
          <w:sz w:val="24"/>
          <w:szCs w:val="24"/>
        </w:rPr>
        <w:t xml:space="preserve"> </w:t>
      </w:r>
      <w:r w:rsidR="003D33A6" w:rsidRPr="009545B7">
        <w:rPr>
          <w:rFonts w:ascii="Times New Roman" w:hAnsi="Times New Roman" w:cs="Times New Roman"/>
          <w:color w:val="000000" w:themeColor="text1"/>
          <w:sz w:val="24"/>
          <w:szCs w:val="24"/>
        </w:rPr>
        <w:t>Transparência</w:t>
      </w:r>
    </w:p>
    <w:p w14:paraId="33781B1F" w14:textId="77777777" w:rsidR="00F57610" w:rsidRPr="00F57610" w:rsidRDefault="00F57610" w:rsidP="00F57610">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0429BAEB" w14:textId="2D76D601" w:rsidR="00B1196D" w:rsidRDefault="00842C1F" w:rsidP="00511457">
      <w:pPr>
        <w:pStyle w:val="Estilo1"/>
        <w:spacing w:before="0"/>
        <w:rPr>
          <w:rFonts w:ascii="Times New Roman" w:hAnsi="Times New Roman" w:cs="Times New Roman"/>
          <w:color w:val="000000" w:themeColor="text1"/>
        </w:rPr>
      </w:pPr>
      <w:r w:rsidRPr="009545B7">
        <w:rPr>
          <w:rFonts w:ascii="Times New Roman" w:hAnsi="Times New Roman" w:cs="Times New Roman"/>
          <w:color w:val="000000" w:themeColor="text1"/>
        </w:rPr>
        <w:t>1 INTRODUÇÃO</w:t>
      </w:r>
      <w:bookmarkEnd w:id="0"/>
    </w:p>
    <w:p w14:paraId="42FCB1EA" w14:textId="77777777" w:rsidR="003D33A6" w:rsidRPr="009545B7" w:rsidRDefault="003D33A6" w:rsidP="00511457">
      <w:pPr>
        <w:pStyle w:val="Estilo1"/>
        <w:spacing w:before="0"/>
        <w:rPr>
          <w:rFonts w:ascii="Times New Roman" w:hAnsi="Times New Roman" w:cs="Times New Roman"/>
          <w:color w:val="000000" w:themeColor="text1"/>
        </w:rPr>
      </w:pPr>
    </w:p>
    <w:p w14:paraId="0EEAF3F7" w14:textId="0CB8C5D6" w:rsidR="00A95A6A" w:rsidRPr="009545B7" w:rsidRDefault="003D33A6" w:rsidP="001C737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acordo com </w:t>
      </w:r>
      <w:r w:rsidR="00842C1F" w:rsidRPr="009545B7">
        <w:rPr>
          <w:rFonts w:ascii="Times New Roman" w:hAnsi="Times New Roman" w:cs="Times New Roman"/>
          <w:color w:val="000000" w:themeColor="text1"/>
          <w:sz w:val="24"/>
          <w:szCs w:val="24"/>
        </w:rPr>
        <w:t>Matias-Pereira</w:t>
      </w:r>
      <w:r w:rsidR="004451CB" w:rsidRPr="009545B7">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(201</w:t>
      </w:r>
      <w:r w:rsidR="00203940" w:rsidRPr="009545B7">
        <w:rPr>
          <w:rFonts w:ascii="Times New Roman" w:hAnsi="Times New Roman" w:cs="Times New Roman"/>
          <w:color w:val="000000" w:themeColor="text1"/>
          <w:sz w:val="24"/>
          <w:szCs w:val="24"/>
        </w:rPr>
        <w:t>6</w:t>
      </w:r>
      <w:r w:rsidR="00842C1F" w:rsidRPr="00954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 xml:space="preserve">considerando a mudança paradigmática na </w:t>
      </w:r>
      <w:r w:rsidR="00203940" w:rsidRPr="009545B7">
        <w:rPr>
          <w:rFonts w:ascii="Times New Roman" w:hAnsi="Times New Roman" w:cs="Times New Roman"/>
          <w:color w:val="000000" w:themeColor="text1"/>
          <w:sz w:val="24"/>
          <w:szCs w:val="24"/>
        </w:rPr>
        <w:t>A</w:t>
      </w:r>
      <w:r w:rsidR="00842C1F" w:rsidRPr="009545B7">
        <w:rPr>
          <w:rFonts w:ascii="Times New Roman" w:hAnsi="Times New Roman" w:cs="Times New Roman"/>
          <w:color w:val="000000" w:themeColor="text1"/>
          <w:sz w:val="24"/>
          <w:szCs w:val="24"/>
        </w:rPr>
        <w:t xml:space="preserve">dministração </w:t>
      </w:r>
      <w:r w:rsidR="00203940" w:rsidRPr="009545B7">
        <w:rPr>
          <w:rFonts w:ascii="Times New Roman" w:hAnsi="Times New Roman" w:cs="Times New Roman"/>
          <w:color w:val="000000" w:themeColor="text1"/>
          <w:sz w:val="24"/>
          <w:szCs w:val="24"/>
        </w:rPr>
        <w:t>P</w:t>
      </w:r>
      <w:r w:rsidR="00842C1F" w:rsidRPr="009545B7">
        <w:rPr>
          <w:rFonts w:ascii="Times New Roman" w:hAnsi="Times New Roman" w:cs="Times New Roman"/>
          <w:color w:val="000000" w:themeColor="text1"/>
          <w:sz w:val="24"/>
          <w:szCs w:val="24"/>
        </w:rPr>
        <w:t xml:space="preserve">ública brasileira, o conceito de </w:t>
      </w:r>
      <w:r w:rsidR="00854E7A" w:rsidRPr="009545B7">
        <w:rPr>
          <w:rFonts w:ascii="Times New Roman" w:hAnsi="Times New Roman" w:cs="Times New Roman"/>
          <w:color w:val="000000" w:themeColor="text1"/>
          <w:sz w:val="24"/>
          <w:szCs w:val="24"/>
        </w:rPr>
        <w:t>G</w:t>
      </w:r>
      <w:r w:rsidR="00842C1F" w:rsidRPr="009545B7">
        <w:rPr>
          <w:rFonts w:ascii="Times New Roman" w:hAnsi="Times New Roman" w:cs="Times New Roman"/>
          <w:color w:val="000000" w:themeColor="text1"/>
          <w:sz w:val="24"/>
          <w:szCs w:val="24"/>
        </w:rPr>
        <w:t xml:space="preserve">overnança mostra relevância  na construção dos pressupostos </w:t>
      </w:r>
      <w:r w:rsidR="00A36BB9" w:rsidRPr="009545B7">
        <w:rPr>
          <w:rFonts w:ascii="Times New Roman" w:hAnsi="Times New Roman" w:cs="Times New Roman"/>
          <w:color w:val="000000" w:themeColor="text1"/>
          <w:sz w:val="24"/>
          <w:szCs w:val="24"/>
        </w:rPr>
        <w:t>desta</w:t>
      </w:r>
      <w:r w:rsidR="00842C1F" w:rsidRPr="009545B7">
        <w:rPr>
          <w:rFonts w:ascii="Times New Roman" w:hAnsi="Times New Roman" w:cs="Times New Roman"/>
          <w:color w:val="000000" w:themeColor="text1"/>
          <w:sz w:val="24"/>
          <w:szCs w:val="24"/>
        </w:rPr>
        <w:t xml:space="preserve"> reforma estatal, considerando a mudança do paradigma burocrático para uma configuração mais gerencial de Estado, com foco no cidadão.</w:t>
      </w:r>
    </w:p>
    <w:p w14:paraId="5BDE170A" w14:textId="7E811CE1" w:rsidR="00A36BB9" w:rsidRPr="009545B7" w:rsidRDefault="00A36BB9" w:rsidP="001C737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Segundo Osborne (2010), o </w:t>
      </w:r>
      <w:r w:rsidR="00842C1F" w:rsidRPr="009545B7">
        <w:rPr>
          <w:rFonts w:ascii="Times New Roman" w:hAnsi="Times New Roman" w:cs="Times New Roman"/>
          <w:color w:val="000000" w:themeColor="text1"/>
          <w:sz w:val="24"/>
          <w:szCs w:val="24"/>
        </w:rPr>
        <w:t xml:space="preserve">conceito de </w:t>
      </w:r>
      <w:r w:rsidR="00854E7A" w:rsidRPr="009545B7">
        <w:rPr>
          <w:rFonts w:ascii="Times New Roman" w:hAnsi="Times New Roman" w:cs="Times New Roman"/>
          <w:color w:val="000000" w:themeColor="text1"/>
          <w:sz w:val="24"/>
          <w:szCs w:val="24"/>
        </w:rPr>
        <w:t>G</w:t>
      </w:r>
      <w:r w:rsidR="00842C1F" w:rsidRPr="009545B7">
        <w:rPr>
          <w:rFonts w:ascii="Times New Roman" w:hAnsi="Times New Roman" w:cs="Times New Roman"/>
          <w:color w:val="000000" w:themeColor="text1"/>
          <w:sz w:val="24"/>
          <w:szCs w:val="24"/>
        </w:rPr>
        <w:t xml:space="preserve">overnança é amplamente abordado, nos dias atuais, dada sua relevância no contexto sociopolítico corrente. </w:t>
      </w:r>
      <w:r w:rsidRPr="009545B7">
        <w:rPr>
          <w:rFonts w:ascii="Times New Roman" w:hAnsi="Times New Roman" w:cs="Times New Roman"/>
          <w:color w:val="000000" w:themeColor="text1"/>
          <w:sz w:val="24"/>
          <w:szCs w:val="24"/>
        </w:rPr>
        <w:t>O autor defende que sua definição é abrangente, uma vez que o vocábulo é detentor de inúmeros significados, não possuindo uma abordagem única.</w:t>
      </w:r>
    </w:p>
    <w:p w14:paraId="5AAEA094" w14:textId="7F44BC46" w:rsidR="00842C1F" w:rsidRPr="009545B7" w:rsidRDefault="00842C1F" w:rsidP="001C737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No tocante à Governança Pública, ainda segundo Osborne (2010), deve-se atentar para alguns princípios primordiais, como a </w:t>
      </w:r>
      <w:r w:rsidR="00854E7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w:t>
      </w:r>
      <w:r w:rsidR="00A36BB9" w:rsidRPr="009545B7">
        <w:rPr>
          <w:rFonts w:ascii="Times New Roman" w:hAnsi="Times New Roman" w:cs="Times New Roman"/>
          <w:color w:val="000000" w:themeColor="text1"/>
          <w:sz w:val="24"/>
          <w:szCs w:val="24"/>
        </w:rPr>
        <w:t>O autor entende</w:t>
      </w:r>
      <w:r w:rsidRPr="009545B7">
        <w:rPr>
          <w:rFonts w:ascii="Times New Roman" w:hAnsi="Times New Roman" w:cs="Times New Roman"/>
          <w:color w:val="000000" w:themeColor="text1"/>
          <w:sz w:val="24"/>
          <w:szCs w:val="24"/>
        </w:rPr>
        <w:t xml:space="preserve"> que houve uma alteração nos rumos da </w:t>
      </w:r>
      <w:r w:rsidR="00A36BB9" w:rsidRPr="009545B7">
        <w:rPr>
          <w:rFonts w:ascii="Times New Roman" w:hAnsi="Times New Roman" w:cs="Times New Roman"/>
          <w:color w:val="000000" w:themeColor="text1"/>
          <w:sz w:val="24"/>
          <w:szCs w:val="24"/>
        </w:rPr>
        <w:t>A</w:t>
      </w:r>
      <w:r w:rsidRPr="009545B7">
        <w:rPr>
          <w:rFonts w:ascii="Times New Roman" w:hAnsi="Times New Roman" w:cs="Times New Roman"/>
          <w:color w:val="000000" w:themeColor="text1"/>
          <w:sz w:val="24"/>
          <w:szCs w:val="24"/>
        </w:rPr>
        <w:t xml:space="preserve">dministração </w:t>
      </w:r>
      <w:r w:rsidR="00A36BB9" w:rsidRPr="009545B7">
        <w:rPr>
          <w:rFonts w:ascii="Times New Roman" w:hAnsi="Times New Roman" w:cs="Times New Roman"/>
          <w:color w:val="000000" w:themeColor="text1"/>
          <w:sz w:val="24"/>
          <w:szCs w:val="24"/>
        </w:rPr>
        <w:t>P</w:t>
      </w:r>
      <w:r w:rsidRPr="009545B7">
        <w:rPr>
          <w:rFonts w:ascii="Times New Roman" w:hAnsi="Times New Roman" w:cs="Times New Roman"/>
          <w:color w:val="000000" w:themeColor="text1"/>
          <w:sz w:val="24"/>
          <w:szCs w:val="24"/>
        </w:rPr>
        <w:t>ública e da gestão das políticas públicas, absorvendo mecanismos já  utilizados, de forma satisfatória, no setor privado. Tal constatação é  corroborada por meio do destaque dado por intermédio da literatura ao tema nos últimos anos (OSBORNE, 2010).</w:t>
      </w:r>
    </w:p>
    <w:p w14:paraId="78534101" w14:textId="7B69C3EE" w:rsidR="00842C1F" w:rsidRPr="009545B7" w:rsidRDefault="00A36BB9" w:rsidP="001C737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Nesse sentido, na visão de </w:t>
      </w:r>
      <w:r w:rsidR="00842C1F" w:rsidRPr="009545B7">
        <w:rPr>
          <w:rFonts w:ascii="Times New Roman" w:hAnsi="Times New Roman" w:cs="Times New Roman"/>
          <w:color w:val="000000" w:themeColor="text1"/>
          <w:sz w:val="24"/>
          <w:szCs w:val="24"/>
        </w:rPr>
        <w:t>Matias-Pereira (201</w:t>
      </w:r>
      <w:r w:rsidR="00203940" w:rsidRPr="009545B7">
        <w:rPr>
          <w:rFonts w:ascii="Times New Roman" w:hAnsi="Times New Roman" w:cs="Times New Roman"/>
          <w:color w:val="000000" w:themeColor="text1"/>
          <w:sz w:val="24"/>
          <w:szCs w:val="24"/>
        </w:rPr>
        <w:t>6</w:t>
      </w:r>
      <w:r w:rsidR="00842C1F" w:rsidRPr="009545B7">
        <w:rPr>
          <w:rFonts w:ascii="Times New Roman" w:hAnsi="Times New Roman" w:cs="Times New Roman"/>
          <w:color w:val="000000" w:themeColor="text1"/>
          <w:sz w:val="24"/>
          <w:szCs w:val="24"/>
        </w:rPr>
        <w:t xml:space="preserve">), a </w:t>
      </w:r>
      <w:r w:rsidRPr="009545B7">
        <w:rPr>
          <w:rFonts w:ascii="Times New Roman" w:hAnsi="Times New Roman" w:cs="Times New Roman"/>
          <w:color w:val="000000" w:themeColor="text1"/>
          <w:sz w:val="24"/>
          <w:szCs w:val="24"/>
        </w:rPr>
        <w:t>A</w:t>
      </w:r>
      <w:r w:rsidR="00842C1F" w:rsidRPr="009545B7">
        <w:rPr>
          <w:rFonts w:ascii="Times New Roman" w:hAnsi="Times New Roman" w:cs="Times New Roman"/>
          <w:color w:val="000000" w:themeColor="text1"/>
          <w:sz w:val="24"/>
          <w:szCs w:val="24"/>
        </w:rPr>
        <w:t xml:space="preserve">dministração Pública, por meio dos princípios de </w:t>
      </w:r>
      <w:r w:rsidR="00854E7A" w:rsidRPr="009545B7">
        <w:rPr>
          <w:rFonts w:ascii="Times New Roman" w:hAnsi="Times New Roman" w:cs="Times New Roman"/>
          <w:color w:val="000000" w:themeColor="text1"/>
          <w:sz w:val="24"/>
          <w:szCs w:val="24"/>
        </w:rPr>
        <w:t>G</w:t>
      </w:r>
      <w:r w:rsidR="00842C1F" w:rsidRPr="009545B7">
        <w:rPr>
          <w:rFonts w:ascii="Times New Roman" w:hAnsi="Times New Roman" w:cs="Times New Roman"/>
          <w:color w:val="000000" w:themeColor="text1"/>
          <w:sz w:val="24"/>
          <w:szCs w:val="24"/>
        </w:rPr>
        <w:t xml:space="preserve">overnança, deve gerar valor à sociedade de maneira </w:t>
      </w:r>
      <w:r w:rsidRPr="009545B7">
        <w:rPr>
          <w:rFonts w:ascii="Times New Roman" w:hAnsi="Times New Roman" w:cs="Times New Roman"/>
          <w:color w:val="000000" w:themeColor="text1"/>
          <w:sz w:val="24"/>
          <w:szCs w:val="24"/>
        </w:rPr>
        <w:t>a garantir</w:t>
      </w:r>
      <w:r w:rsidR="00203940" w:rsidRPr="009545B7">
        <w:rPr>
          <w:rFonts w:ascii="Times New Roman" w:hAnsi="Times New Roman" w:cs="Times New Roman"/>
          <w:color w:val="000000" w:themeColor="text1"/>
          <w:sz w:val="24"/>
          <w:szCs w:val="24"/>
        </w:rPr>
        <w:t xml:space="preserve"> um</w:t>
      </w:r>
      <w:r w:rsidR="00842C1F" w:rsidRPr="009545B7">
        <w:rPr>
          <w:rFonts w:ascii="Times New Roman" w:hAnsi="Times New Roman" w:cs="Times New Roman"/>
          <w:color w:val="000000" w:themeColor="text1"/>
          <w:sz w:val="24"/>
          <w:szCs w:val="24"/>
        </w:rPr>
        <w:t xml:space="preserve"> desenvolvimento</w:t>
      </w:r>
      <w:r w:rsidR="00203940" w:rsidRPr="009545B7">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sustentável</w:t>
      </w:r>
      <w:r w:rsidRPr="009545B7">
        <w:rPr>
          <w:rFonts w:ascii="Times New Roman" w:hAnsi="Times New Roman" w:cs="Times New Roman"/>
          <w:color w:val="000000" w:themeColor="text1"/>
          <w:sz w:val="24"/>
          <w:szCs w:val="24"/>
        </w:rPr>
        <w:t xml:space="preserve"> e </w:t>
      </w:r>
      <w:r w:rsidR="006F48D2" w:rsidRPr="009545B7">
        <w:rPr>
          <w:rFonts w:ascii="Times New Roman" w:hAnsi="Times New Roman" w:cs="Times New Roman"/>
          <w:color w:val="000000" w:themeColor="text1"/>
          <w:sz w:val="24"/>
          <w:szCs w:val="24"/>
        </w:rPr>
        <w:t xml:space="preserve">utilizando </w:t>
      </w:r>
      <w:r w:rsidR="00842C1F" w:rsidRPr="009545B7">
        <w:rPr>
          <w:rFonts w:ascii="Times New Roman" w:hAnsi="Times New Roman" w:cs="Times New Roman"/>
          <w:color w:val="000000" w:themeColor="text1"/>
          <w:sz w:val="24"/>
          <w:szCs w:val="24"/>
        </w:rPr>
        <w:t>recursos</w:t>
      </w:r>
      <w:r w:rsidR="006F48D2" w:rsidRPr="009545B7">
        <w:rPr>
          <w:rFonts w:ascii="Times New Roman" w:hAnsi="Times New Roman" w:cs="Times New Roman"/>
          <w:color w:val="000000" w:themeColor="text1"/>
          <w:sz w:val="24"/>
          <w:szCs w:val="24"/>
        </w:rPr>
        <w:t xml:space="preserve"> </w:t>
      </w:r>
      <w:r w:rsidR="00C5173C">
        <w:rPr>
          <w:rFonts w:ascii="Times New Roman" w:hAnsi="Times New Roman" w:cs="Times New Roman"/>
          <w:color w:val="000000" w:themeColor="text1"/>
          <w:sz w:val="24"/>
          <w:szCs w:val="24"/>
        </w:rPr>
        <w:t>de forma eficiente</w:t>
      </w:r>
      <w:r w:rsidR="00842C1F"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Segundo o autor, a Transparência exerce papel relevante na discussão acerca da geração e entrega de valor, refletindo resultados ao cidadão.</w:t>
      </w:r>
    </w:p>
    <w:p w14:paraId="2CF1AB24" w14:textId="66CBE537" w:rsidR="00842C1F" w:rsidRPr="009545B7" w:rsidRDefault="003F6F9A" w:rsidP="001C737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Corroborando </w:t>
      </w:r>
      <w:r w:rsidR="003D33A6">
        <w:rPr>
          <w:rFonts w:ascii="Times New Roman" w:hAnsi="Times New Roman" w:cs="Times New Roman"/>
          <w:color w:val="000000" w:themeColor="text1"/>
          <w:sz w:val="24"/>
          <w:szCs w:val="24"/>
        </w:rPr>
        <w:t>com esse</w:t>
      </w:r>
      <w:r w:rsidRPr="009545B7">
        <w:rPr>
          <w:rFonts w:ascii="Times New Roman" w:hAnsi="Times New Roman" w:cs="Times New Roman"/>
          <w:color w:val="000000" w:themeColor="text1"/>
          <w:sz w:val="24"/>
          <w:szCs w:val="24"/>
        </w:rPr>
        <w:t xml:space="preserve"> pensamento</w:t>
      </w:r>
      <w:r w:rsidR="003D33A6">
        <w:rPr>
          <w:rFonts w:ascii="Times New Roman" w:hAnsi="Times New Roman" w:cs="Times New Roman"/>
          <w:color w:val="000000" w:themeColor="text1"/>
          <w:sz w:val="24"/>
          <w:szCs w:val="24"/>
        </w:rPr>
        <w:t xml:space="preserve">, </w:t>
      </w:r>
      <w:proofErr w:type="spellStart"/>
      <w:r w:rsidRPr="009545B7">
        <w:rPr>
          <w:rFonts w:ascii="Times New Roman" w:hAnsi="Times New Roman" w:cs="Times New Roman"/>
          <w:color w:val="000000" w:themeColor="text1"/>
          <w:sz w:val="24"/>
          <w:szCs w:val="24"/>
        </w:rPr>
        <w:t>Raschendorfer</w:t>
      </w:r>
      <w:proofErr w:type="spellEnd"/>
      <w:r w:rsidRPr="009545B7">
        <w:rPr>
          <w:rFonts w:ascii="Times New Roman" w:hAnsi="Times New Roman" w:cs="Times New Roman"/>
          <w:color w:val="000000" w:themeColor="text1"/>
          <w:sz w:val="24"/>
          <w:szCs w:val="24"/>
        </w:rPr>
        <w:t xml:space="preserve"> (2019) afirma que o paradigma atual denota uma mudança de lógica baseada na eficiência e controle para outra baseada no fortalecimento dos relacionamentos institucionais com a sociedade. Ainda segundo a autora, o contexto das organizações públicas atuais traduz um ambiente dinâmico no qual a coprodução figura nas práticas de Gestão e Governança Pública</w:t>
      </w:r>
      <w:r w:rsidR="00A36BB9" w:rsidRPr="009545B7">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promovendo ações que garant</w:t>
      </w:r>
      <w:r w:rsidR="00E01ACF" w:rsidRPr="009545B7">
        <w:rPr>
          <w:rFonts w:ascii="Times New Roman" w:hAnsi="Times New Roman" w:cs="Times New Roman"/>
          <w:color w:val="000000" w:themeColor="text1"/>
          <w:sz w:val="24"/>
          <w:szCs w:val="24"/>
        </w:rPr>
        <w:t>e</w:t>
      </w:r>
      <w:r w:rsidR="00842C1F" w:rsidRPr="009545B7">
        <w:rPr>
          <w:rFonts w:ascii="Times New Roman" w:hAnsi="Times New Roman" w:cs="Times New Roman"/>
          <w:color w:val="000000" w:themeColor="text1"/>
          <w:sz w:val="24"/>
          <w:szCs w:val="24"/>
        </w:rPr>
        <w:t>m maior atuação do cidadão.</w:t>
      </w:r>
    </w:p>
    <w:p w14:paraId="4E3F4D95" w14:textId="4683F068" w:rsidR="00842C1F" w:rsidRPr="009545B7" w:rsidRDefault="003F6F9A" w:rsidP="001C737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No contexto da Defesa Nacional</w:t>
      </w:r>
      <w:r w:rsidR="00842C1F" w:rsidRPr="009545B7">
        <w:rPr>
          <w:rFonts w:ascii="Times New Roman" w:hAnsi="Times New Roman" w:cs="Times New Roman"/>
          <w:color w:val="000000" w:themeColor="text1"/>
          <w:sz w:val="24"/>
          <w:szCs w:val="24"/>
        </w:rPr>
        <w:t>, faz-se mister citar o MD</w:t>
      </w:r>
      <w:r w:rsidR="00533353">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criado em 1999, alterando a estrutura da Administração Pública Federal,</w:t>
      </w:r>
      <w:r w:rsidR="00533353">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 xml:space="preserve">considerado um vetor importante nas </w:t>
      </w:r>
      <w:r w:rsidR="00842C1F" w:rsidRPr="009545B7">
        <w:rPr>
          <w:rFonts w:ascii="Times New Roman" w:hAnsi="Times New Roman" w:cs="Times New Roman"/>
          <w:color w:val="000000" w:themeColor="text1"/>
          <w:sz w:val="24"/>
          <w:szCs w:val="24"/>
        </w:rPr>
        <w:lastRenderedPageBreak/>
        <w:t xml:space="preserve">transformações em Defesa. Sua criação foi influenciada pelos aspectos  envoltos na busca do aperfeiçoamento da </w:t>
      </w:r>
      <w:r w:rsidRPr="009545B7">
        <w:rPr>
          <w:rFonts w:ascii="Times New Roman" w:hAnsi="Times New Roman" w:cs="Times New Roman"/>
          <w:color w:val="000000" w:themeColor="text1"/>
          <w:sz w:val="24"/>
          <w:szCs w:val="24"/>
        </w:rPr>
        <w:t>A</w:t>
      </w:r>
      <w:r w:rsidR="00842C1F" w:rsidRPr="009545B7">
        <w:rPr>
          <w:rFonts w:ascii="Times New Roman" w:hAnsi="Times New Roman" w:cs="Times New Roman"/>
          <w:color w:val="000000" w:themeColor="text1"/>
          <w:sz w:val="24"/>
          <w:szCs w:val="24"/>
        </w:rPr>
        <w:t>dministração</w:t>
      </w:r>
      <w:r w:rsidRPr="009545B7">
        <w:rPr>
          <w:rFonts w:ascii="Times New Roman" w:hAnsi="Times New Roman" w:cs="Times New Roman"/>
          <w:color w:val="000000" w:themeColor="text1"/>
          <w:sz w:val="24"/>
          <w:szCs w:val="24"/>
        </w:rPr>
        <w:t xml:space="preserve"> Pública</w:t>
      </w:r>
      <w:r w:rsidR="00842C1F" w:rsidRPr="009545B7">
        <w:rPr>
          <w:rFonts w:ascii="Times New Roman" w:hAnsi="Times New Roman" w:cs="Times New Roman"/>
          <w:color w:val="000000" w:themeColor="text1"/>
          <w:sz w:val="24"/>
          <w:szCs w:val="24"/>
        </w:rPr>
        <w:t xml:space="preserve">, influenciados pelas recentes mudanças dos paradigmas de </w:t>
      </w:r>
      <w:r w:rsidR="00854E7A" w:rsidRPr="009545B7">
        <w:rPr>
          <w:rFonts w:ascii="Times New Roman" w:hAnsi="Times New Roman" w:cs="Times New Roman"/>
          <w:color w:val="000000" w:themeColor="text1"/>
          <w:sz w:val="24"/>
          <w:szCs w:val="24"/>
        </w:rPr>
        <w:t>G</w:t>
      </w:r>
      <w:r w:rsidR="00842C1F" w:rsidRPr="009545B7">
        <w:rPr>
          <w:rFonts w:ascii="Times New Roman" w:hAnsi="Times New Roman" w:cs="Times New Roman"/>
          <w:color w:val="000000" w:themeColor="text1"/>
          <w:sz w:val="24"/>
          <w:szCs w:val="24"/>
        </w:rPr>
        <w:t xml:space="preserve">overnança estatais. </w:t>
      </w:r>
      <w:r w:rsidRPr="009545B7">
        <w:rPr>
          <w:rFonts w:ascii="Times New Roman" w:hAnsi="Times New Roman" w:cs="Times New Roman"/>
          <w:color w:val="000000" w:themeColor="text1"/>
          <w:sz w:val="24"/>
          <w:szCs w:val="24"/>
        </w:rPr>
        <w:t>A alteração objetivou o direcionamento superior das Forças Armadas e o estabelecimento de canais que possibilitassem maior fluidez na relação dos temas alusivos à Defesa tanto ativa quanto passivamente.</w:t>
      </w:r>
    </w:p>
    <w:p w14:paraId="4A13F390" w14:textId="44951BAC" w:rsidR="000813C3" w:rsidRPr="009545B7" w:rsidRDefault="003163E9" w:rsidP="001C737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Para elucidar </w:t>
      </w:r>
      <w:r w:rsidR="00237C7D" w:rsidRPr="009545B7">
        <w:rPr>
          <w:rFonts w:ascii="Times New Roman" w:hAnsi="Times New Roman" w:cs="Times New Roman"/>
          <w:color w:val="000000" w:themeColor="text1"/>
          <w:sz w:val="24"/>
          <w:szCs w:val="24"/>
        </w:rPr>
        <w:t xml:space="preserve">a configuração atual do </w:t>
      </w:r>
      <w:r w:rsidRPr="009545B7">
        <w:rPr>
          <w:rFonts w:ascii="Times New Roman" w:hAnsi="Times New Roman" w:cs="Times New Roman"/>
          <w:color w:val="000000" w:themeColor="text1"/>
          <w:sz w:val="24"/>
          <w:szCs w:val="24"/>
        </w:rPr>
        <w:t xml:space="preserve">MD, </w:t>
      </w:r>
      <w:r w:rsidR="00A67DC3" w:rsidRPr="009545B7">
        <w:rPr>
          <w:rFonts w:ascii="Times New Roman" w:hAnsi="Times New Roman" w:cs="Times New Roman"/>
          <w:color w:val="000000" w:themeColor="text1"/>
          <w:sz w:val="24"/>
          <w:szCs w:val="24"/>
        </w:rPr>
        <w:t xml:space="preserve">Segundo </w:t>
      </w:r>
      <w:r w:rsidR="000813C3" w:rsidRPr="009545B7">
        <w:rPr>
          <w:rFonts w:ascii="Times New Roman" w:hAnsi="Times New Roman" w:cs="Times New Roman"/>
          <w:color w:val="000000" w:themeColor="text1"/>
          <w:sz w:val="24"/>
          <w:szCs w:val="24"/>
        </w:rPr>
        <w:t xml:space="preserve">a </w:t>
      </w:r>
      <w:r w:rsidR="00A67DC3" w:rsidRPr="009545B7">
        <w:rPr>
          <w:rFonts w:ascii="Times New Roman" w:hAnsi="Times New Roman" w:cs="Times New Roman"/>
          <w:color w:val="000000" w:themeColor="text1"/>
          <w:sz w:val="24"/>
          <w:szCs w:val="24"/>
        </w:rPr>
        <w:t>Lei</w:t>
      </w:r>
      <w:r w:rsidR="000813C3"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nº</w:t>
      </w:r>
      <w:r w:rsidR="00A67DC3" w:rsidRPr="009545B7">
        <w:rPr>
          <w:rFonts w:ascii="Times New Roman" w:hAnsi="Times New Roman" w:cs="Times New Roman"/>
          <w:color w:val="000000" w:themeColor="text1"/>
          <w:sz w:val="24"/>
          <w:szCs w:val="24"/>
        </w:rPr>
        <w:t xml:space="preserve"> 13.844</w:t>
      </w:r>
      <w:r w:rsidRPr="009545B7">
        <w:rPr>
          <w:rFonts w:ascii="Times New Roman" w:hAnsi="Times New Roman" w:cs="Times New Roman"/>
          <w:color w:val="000000" w:themeColor="text1"/>
          <w:sz w:val="24"/>
          <w:szCs w:val="24"/>
        </w:rPr>
        <w:t xml:space="preserve">/ </w:t>
      </w:r>
      <w:r w:rsidR="00A67DC3" w:rsidRPr="009545B7">
        <w:rPr>
          <w:rFonts w:ascii="Times New Roman" w:hAnsi="Times New Roman" w:cs="Times New Roman"/>
          <w:color w:val="000000" w:themeColor="text1"/>
          <w:sz w:val="24"/>
          <w:szCs w:val="24"/>
        </w:rPr>
        <w:t xml:space="preserve">2019, </w:t>
      </w:r>
      <w:r w:rsidR="000813C3" w:rsidRPr="009545B7">
        <w:rPr>
          <w:rFonts w:ascii="Times New Roman" w:hAnsi="Times New Roman" w:cs="Times New Roman"/>
          <w:color w:val="000000" w:themeColor="text1"/>
          <w:sz w:val="24"/>
          <w:szCs w:val="24"/>
        </w:rPr>
        <w:t xml:space="preserve">as áreas de atuação e a constituição do MD são as expressas </w:t>
      </w:r>
      <w:r w:rsidR="00511457" w:rsidRPr="009545B7">
        <w:rPr>
          <w:rFonts w:ascii="Times New Roman" w:hAnsi="Times New Roman" w:cs="Times New Roman"/>
          <w:color w:val="000000" w:themeColor="text1"/>
          <w:sz w:val="24"/>
          <w:szCs w:val="24"/>
        </w:rPr>
        <w:t>nos quadros</w:t>
      </w:r>
      <w:r w:rsidR="000813C3" w:rsidRPr="009545B7">
        <w:rPr>
          <w:rFonts w:ascii="Times New Roman" w:hAnsi="Times New Roman" w:cs="Times New Roman"/>
          <w:color w:val="000000" w:themeColor="text1"/>
          <w:sz w:val="24"/>
          <w:szCs w:val="24"/>
        </w:rPr>
        <w:t xml:space="preserve"> abaixo:</w:t>
      </w:r>
    </w:p>
    <w:p w14:paraId="70210CA5" w14:textId="3C8F588D" w:rsidR="000813C3" w:rsidRPr="009545B7" w:rsidRDefault="000813C3" w:rsidP="000813C3">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6244F815" w14:textId="3A114A08" w:rsidR="000813C3" w:rsidRPr="009545B7" w:rsidRDefault="00511457" w:rsidP="00F57610">
      <w:pPr>
        <w:autoSpaceDE w:val="0"/>
        <w:autoSpaceDN w:val="0"/>
        <w:adjustRightInd w:val="0"/>
        <w:spacing w:after="0" w:line="240" w:lineRule="auto"/>
        <w:ind w:firstLine="284"/>
        <w:rPr>
          <w:rFonts w:ascii="Times New Roman" w:hAnsi="Times New Roman" w:cs="Times New Roman"/>
          <w:b/>
          <w:bCs/>
          <w:color w:val="000000" w:themeColor="text1"/>
          <w:sz w:val="20"/>
          <w:szCs w:val="20"/>
        </w:rPr>
      </w:pPr>
      <w:r w:rsidRPr="009545B7">
        <w:rPr>
          <w:rFonts w:ascii="Times New Roman" w:hAnsi="Times New Roman" w:cs="Times New Roman"/>
          <w:b/>
          <w:bCs/>
          <w:color w:val="000000" w:themeColor="text1"/>
          <w:sz w:val="20"/>
          <w:szCs w:val="20"/>
        </w:rPr>
        <w:t>Quadro</w:t>
      </w:r>
      <w:r w:rsidR="000813C3" w:rsidRPr="009545B7">
        <w:rPr>
          <w:rFonts w:ascii="Times New Roman" w:hAnsi="Times New Roman" w:cs="Times New Roman"/>
          <w:b/>
          <w:bCs/>
          <w:color w:val="000000" w:themeColor="text1"/>
          <w:sz w:val="20"/>
          <w:szCs w:val="20"/>
        </w:rPr>
        <w:t xml:space="preserve"> 1</w:t>
      </w:r>
      <w:r w:rsidR="00A65BE2" w:rsidRPr="009545B7">
        <w:rPr>
          <w:rFonts w:ascii="Times New Roman" w:hAnsi="Times New Roman" w:cs="Times New Roman"/>
          <w:b/>
          <w:bCs/>
          <w:color w:val="000000" w:themeColor="text1"/>
          <w:sz w:val="20"/>
          <w:szCs w:val="20"/>
        </w:rPr>
        <w:t>–</w:t>
      </w:r>
      <w:r w:rsidR="000813C3" w:rsidRPr="009545B7">
        <w:rPr>
          <w:rFonts w:ascii="Times New Roman" w:hAnsi="Times New Roman" w:cs="Times New Roman"/>
          <w:b/>
          <w:bCs/>
          <w:color w:val="000000" w:themeColor="text1"/>
          <w:sz w:val="20"/>
          <w:szCs w:val="20"/>
        </w:rPr>
        <w:t xml:space="preserve"> </w:t>
      </w:r>
      <w:r w:rsidR="00A65BE2" w:rsidRPr="009545B7">
        <w:rPr>
          <w:rFonts w:ascii="Times New Roman" w:hAnsi="Times New Roman" w:cs="Times New Roman"/>
          <w:b/>
          <w:bCs/>
          <w:color w:val="000000" w:themeColor="text1"/>
          <w:sz w:val="20"/>
          <w:szCs w:val="20"/>
        </w:rPr>
        <w:t xml:space="preserve"> </w:t>
      </w:r>
      <w:r w:rsidR="003163E9" w:rsidRPr="009545B7">
        <w:rPr>
          <w:rFonts w:ascii="Times New Roman" w:hAnsi="Times New Roman" w:cs="Times New Roman"/>
          <w:b/>
          <w:bCs/>
          <w:color w:val="000000" w:themeColor="text1"/>
          <w:sz w:val="20"/>
          <w:szCs w:val="20"/>
        </w:rPr>
        <w:t>Áreas</w:t>
      </w:r>
      <w:r w:rsidR="000813C3" w:rsidRPr="009545B7">
        <w:rPr>
          <w:rFonts w:ascii="Times New Roman" w:hAnsi="Times New Roman" w:cs="Times New Roman"/>
          <w:b/>
          <w:bCs/>
          <w:color w:val="000000" w:themeColor="text1"/>
          <w:sz w:val="20"/>
          <w:szCs w:val="20"/>
        </w:rPr>
        <w:t xml:space="preserve"> de Competência do MD</w:t>
      </w:r>
    </w:p>
    <w:p w14:paraId="44470759" w14:textId="31131A29" w:rsidR="000813C3" w:rsidRPr="00900DEF" w:rsidRDefault="00BD3D6E" w:rsidP="003163E9">
      <w:pPr>
        <w:autoSpaceDE w:val="0"/>
        <w:autoSpaceDN w:val="0"/>
        <w:adjustRightInd w:val="0"/>
        <w:spacing w:after="0" w:line="240" w:lineRule="auto"/>
        <w:ind w:firstLine="0"/>
        <w:jc w:val="center"/>
        <w:rPr>
          <w:rFonts w:ascii="Times New Roman" w:hAnsi="Times New Roman" w:cs="Times New Roman"/>
          <w:color w:val="000000" w:themeColor="text1"/>
          <w:sz w:val="24"/>
          <w:szCs w:val="24"/>
          <w:lang w:val="pt-US"/>
          <w14:textOutline w14:w="9525" w14:cap="rnd" w14:cmpd="sng" w14:algn="ctr">
            <w14:solidFill>
              <w14:schemeClr w14:val="tx1"/>
            </w14:solidFill>
            <w14:prstDash w14:val="solid"/>
            <w14:bevel/>
          </w14:textOutline>
        </w:rPr>
      </w:pPr>
      <w:r>
        <w:rPr>
          <w:rFonts w:ascii="Times New Roman" w:hAnsi="Times New Roman" w:cs="Times New Roman"/>
          <w:noProof/>
          <w:color w:val="000000" w:themeColor="text1"/>
          <w:sz w:val="24"/>
          <w:szCs w:val="24"/>
          <w:lang w:val="pt-US"/>
        </w:rPr>
        <w:drawing>
          <wp:inline distT="0" distB="0" distL="0" distR="0" wp14:anchorId="44DF5C5A" wp14:editId="4BB627D1">
            <wp:extent cx="5400040" cy="37293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5400040" cy="3729355"/>
                    </a:xfrm>
                    <a:prstGeom prst="rect">
                      <a:avLst/>
                    </a:prstGeom>
                  </pic:spPr>
                </pic:pic>
              </a:graphicData>
            </a:graphic>
          </wp:inline>
        </w:drawing>
      </w:r>
    </w:p>
    <w:p w14:paraId="62F1FB58" w14:textId="112F3AD8" w:rsidR="000813C3" w:rsidRDefault="00167396" w:rsidP="00F57610">
      <w:pPr>
        <w:autoSpaceDE w:val="0"/>
        <w:autoSpaceDN w:val="0"/>
        <w:adjustRightInd w:val="0"/>
        <w:spacing w:after="0" w:line="240" w:lineRule="auto"/>
        <w:ind w:firstLine="284"/>
        <w:rPr>
          <w:rFonts w:ascii="Times New Roman" w:hAnsi="Times New Roman" w:cs="Times New Roman"/>
          <w:color w:val="000000" w:themeColor="text1"/>
          <w:sz w:val="18"/>
          <w:szCs w:val="18"/>
        </w:rPr>
      </w:pPr>
      <w:r w:rsidRPr="009545B7">
        <w:rPr>
          <w:rFonts w:ascii="Times New Roman" w:hAnsi="Times New Roman" w:cs="Times New Roman"/>
          <w:color w:val="000000" w:themeColor="text1"/>
          <w:sz w:val="18"/>
          <w:szCs w:val="18"/>
        </w:rPr>
        <w:t>Fonte: Elaborado pelo autor a partir da Lei nº 13.844/ 2019.</w:t>
      </w:r>
    </w:p>
    <w:p w14:paraId="51ADBBFA" w14:textId="77777777" w:rsidR="00C5173C" w:rsidRPr="009545B7" w:rsidRDefault="00C5173C" w:rsidP="00F45F96">
      <w:pPr>
        <w:autoSpaceDE w:val="0"/>
        <w:autoSpaceDN w:val="0"/>
        <w:adjustRightInd w:val="0"/>
        <w:spacing w:after="0" w:line="240" w:lineRule="auto"/>
        <w:ind w:firstLine="0"/>
        <w:rPr>
          <w:rFonts w:ascii="Times New Roman" w:hAnsi="Times New Roman" w:cs="Times New Roman"/>
          <w:color w:val="000000" w:themeColor="text1"/>
          <w:sz w:val="18"/>
          <w:szCs w:val="18"/>
        </w:rPr>
      </w:pPr>
    </w:p>
    <w:p w14:paraId="3B856284" w14:textId="11115265" w:rsidR="00167396" w:rsidRPr="009545B7" w:rsidRDefault="00C5173C" w:rsidP="00C5173C">
      <w:pPr>
        <w:autoSpaceDE w:val="0"/>
        <w:autoSpaceDN w:val="0"/>
        <w:adjustRightInd w:val="0"/>
        <w:spacing w:after="0" w:line="240" w:lineRule="auto"/>
        <w:ind w:firstLine="284"/>
        <w:rPr>
          <w:rFonts w:ascii="Times New Roman" w:hAnsi="Times New Roman" w:cs="Times New Roman"/>
          <w:color w:val="000000" w:themeColor="text1"/>
          <w:sz w:val="24"/>
          <w:szCs w:val="24"/>
        </w:rPr>
      </w:pPr>
      <w:r w:rsidRPr="009545B7">
        <w:rPr>
          <w:rFonts w:ascii="Times New Roman" w:hAnsi="Times New Roman" w:cs="Times New Roman"/>
          <w:b/>
          <w:bCs/>
          <w:color w:val="000000" w:themeColor="text1"/>
          <w:sz w:val="20"/>
          <w:szCs w:val="20"/>
        </w:rPr>
        <w:t>Quadro 2 – Constituição atual do MD</w:t>
      </w:r>
    </w:p>
    <w:p w14:paraId="255CD4F0" w14:textId="3CD279E1" w:rsidR="003163E9" w:rsidRPr="009545B7" w:rsidRDefault="00305237" w:rsidP="00C5173C">
      <w:pPr>
        <w:autoSpaceDE w:val="0"/>
        <w:autoSpaceDN w:val="0"/>
        <w:adjustRightInd w:val="0"/>
        <w:spacing w:after="0" w:line="240" w:lineRule="auto"/>
        <w:ind w:firstLine="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169011A9" wp14:editId="3CFD57EF">
            <wp:extent cx="5400040" cy="20351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9">
                      <a:extLst>
                        <a:ext uri="{28A0092B-C50C-407E-A947-70E740481C1C}">
                          <a14:useLocalDpi xmlns:a14="http://schemas.microsoft.com/office/drawing/2010/main" val="0"/>
                        </a:ext>
                      </a:extLst>
                    </a:blip>
                    <a:stretch>
                      <a:fillRect/>
                    </a:stretch>
                  </pic:blipFill>
                  <pic:spPr>
                    <a:xfrm>
                      <a:off x="0" y="0"/>
                      <a:ext cx="5400040" cy="2035175"/>
                    </a:xfrm>
                    <a:prstGeom prst="rect">
                      <a:avLst/>
                    </a:prstGeom>
                  </pic:spPr>
                </pic:pic>
              </a:graphicData>
            </a:graphic>
          </wp:inline>
        </w:drawing>
      </w:r>
    </w:p>
    <w:p w14:paraId="63BA14A4" w14:textId="265C4630" w:rsidR="00237C7D" w:rsidRPr="009545B7" w:rsidRDefault="00237C7D" w:rsidP="00C5173C">
      <w:pPr>
        <w:autoSpaceDE w:val="0"/>
        <w:autoSpaceDN w:val="0"/>
        <w:adjustRightInd w:val="0"/>
        <w:spacing w:after="0" w:line="240" w:lineRule="auto"/>
        <w:ind w:firstLine="284"/>
        <w:rPr>
          <w:rFonts w:ascii="Times New Roman" w:hAnsi="Times New Roman" w:cs="Times New Roman"/>
          <w:color w:val="000000" w:themeColor="text1"/>
          <w:sz w:val="18"/>
          <w:szCs w:val="18"/>
        </w:rPr>
      </w:pPr>
      <w:r w:rsidRPr="009545B7">
        <w:rPr>
          <w:rFonts w:ascii="Times New Roman" w:hAnsi="Times New Roman" w:cs="Times New Roman"/>
          <w:color w:val="000000" w:themeColor="text1"/>
          <w:sz w:val="18"/>
          <w:szCs w:val="18"/>
        </w:rPr>
        <w:t>Fonte:</w:t>
      </w:r>
      <w:r w:rsidR="00A65BE2" w:rsidRPr="009545B7">
        <w:rPr>
          <w:rFonts w:ascii="Times New Roman" w:hAnsi="Times New Roman" w:cs="Times New Roman"/>
          <w:color w:val="000000" w:themeColor="text1"/>
          <w:sz w:val="18"/>
          <w:szCs w:val="18"/>
        </w:rPr>
        <w:t xml:space="preserve"> Elabor</w:t>
      </w:r>
      <w:r w:rsidR="00167396" w:rsidRPr="009545B7">
        <w:rPr>
          <w:rFonts w:ascii="Times New Roman" w:hAnsi="Times New Roman" w:cs="Times New Roman"/>
          <w:color w:val="000000" w:themeColor="text1"/>
          <w:sz w:val="18"/>
          <w:szCs w:val="18"/>
        </w:rPr>
        <w:t>ado pelo</w:t>
      </w:r>
      <w:r w:rsidR="00A65BE2" w:rsidRPr="009545B7">
        <w:rPr>
          <w:rFonts w:ascii="Times New Roman" w:hAnsi="Times New Roman" w:cs="Times New Roman"/>
          <w:color w:val="000000" w:themeColor="text1"/>
          <w:sz w:val="18"/>
          <w:szCs w:val="18"/>
        </w:rPr>
        <w:t xml:space="preserve"> autor a partir da</w:t>
      </w:r>
      <w:r w:rsidRPr="009545B7">
        <w:rPr>
          <w:rFonts w:ascii="Times New Roman" w:hAnsi="Times New Roman" w:cs="Times New Roman"/>
          <w:color w:val="000000" w:themeColor="text1"/>
          <w:sz w:val="18"/>
          <w:szCs w:val="18"/>
        </w:rPr>
        <w:t xml:space="preserve"> Lei nº 13.844/ 2019</w:t>
      </w:r>
      <w:r w:rsidR="00EE739B" w:rsidRPr="009545B7">
        <w:rPr>
          <w:rFonts w:ascii="Times New Roman" w:hAnsi="Times New Roman" w:cs="Times New Roman"/>
          <w:color w:val="000000" w:themeColor="text1"/>
          <w:sz w:val="18"/>
          <w:szCs w:val="18"/>
        </w:rPr>
        <w:t>.</w:t>
      </w:r>
    </w:p>
    <w:p w14:paraId="7C7664CD" w14:textId="284B0565" w:rsidR="00A67DC3" w:rsidRPr="009545B7" w:rsidRDefault="00A67DC3" w:rsidP="003163E9">
      <w:pPr>
        <w:autoSpaceDE w:val="0"/>
        <w:autoSpaceDN w:val="0"/>
        <w:adjustRightInd w:val="0"/>
        <w:spacing w:after="0" w:line="240" w:lineRule="auto"/>
        <w:ind w:firstLine="0"/>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 </w:t>
      </w:r>
    </w:p>
    <w:p w14:paraId="6D902E3C" w14:textId="59FF87CA" w:rsidR="00842C1F" w:rsidRPr="009545B7" w:rsidRDefault="00842C1F" w:rsidP="00A95A6A">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Assim, identificou-se um terreno para análise da Governança em Defesa </w:t>
      </w:r>
      <w:r w:rsidR="006F48D2" w:rsidRPr="009545B7">
        <w:rPr>
          <w:rFonts w:ascii="Times New Roman" w:hAnsi="Times New Roman" w:cs="Times New Roman"/>
          <w:color w:val="000000" w:themeColor="text1"/>
          <w:sz w:val="24"/>
          <w:szCs w:val="24"/>
        </w:rPr>
        <w:t>em um cenário de</w:t>
      </w:r>
      <w:r w:rsidRPr="009545B7">
        <w:rPr>
          <w:rFonts w:ascii="Times New Roman" w:hAnsi="Times New Roman" w:cs="Times New Roman"/>
          <w:color w:val="000000" w:themeColor="text1"/>
          <w:sz w:val="24"/>
          <w:szCs w:val="24"/>
        </w:rPr>
        <w:t xml:space="preserve"> crescente anseio da sociedade por ações mais transparentes</w:t>
      </w:r>
      <w:r w:rsidR="00237C7D" w:rsidRPr="009545B7">
        <w:rPr>
          <w:rFonts w:ascii="Times New Roman" w:hAnsi="Times New Roman" w:cs="Times New Roman"/>
          <w:color w:val="000000" w:themeColor="text1"/>
          <w:sz w:val="24"/>
          <w:szCs w:val="24"/>
        </w:rPr>
        <w:t xml:space="preserve"> no contexto de suas competências</w:t>
      </w:r>
      <w:r w:rsidRPr="009545B7">
        <w:rPr>
          <w:rFonts w:ascii="Times New Roman" w:hAnsi="Times New Roman" w:cs="Times New Roman"/>
          <w:color w:val="000000" w:themeColor="text1"/>
          <w:sz w:val="24"/>
          <w:szCs w:val="24"/>
        </w:rPr>
        <w:t>, além do fomento do controle social. Cabe ressaltar, ainda, fatores de destaque, como a recente estruturação da Defesa Brasileira</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com a instituição de um Ministério apenas </w:t>
      </w:r>
      <w:r w:rsidRPr="009545B7">
        <w:rPr>
          <w:rFonts w:ascii="Times New Roman" w:hAnsi="Times New Roman" w:cs="Times New Roman"/>
          <w:color w:val="000000" w:themeColor="text1"/>
          <w:sz w:val="24"/>
          <w:szCs w:val="24"/>
        </w:rPr>
        <w:lastRenderedPageBreak/>
        <w:t xml:space="preserve">em 1999, a escolha de um ministro civil, a própria Política de Defesa e a existência dos Livros Branco e Verde de Defesa Nacional, demonstram uma evidente preocupação com a </w:t>
      </w:r>
      <w:r w:rsidR="00854E7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ransparência</w:t>
      </w:r>
      <w:r w:rsidR="00B260E6" w:rsidRPr="009545B7">
        <w:rPr>
          <w:rFonts w:ascii="Times New Roman" w:hAnsi="Times New Roman" w:cs="Times New Roman"/>
          <w:color w:val="000000" w:themeColor="text1"/>
          <w:sz w:val="24"/>
          <w:szCs w:val="24"/>
        </w:rPr>
        <w:t>.</w:t>
      </w:r>
    </w:p>
    <w:p w14:paraId="1C9E5CEC" w14:textId="2D8F84A4" w:rsidR="003F6F9A" w:rsidRPr="009545B7" w:rsidRDefault="00F34ACB" w:rsidP="00A95A6A">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Visando</w:t>
      </w:r>
      <w:r w:rsidR="003F6F9A" w:rsidRPr="009545B7">
        <w:rPr>
          <w:rFonts w:ascii="Times New Roman" w:hAnsi="Times New Roman" w:cs="Times New Roman"/>
          <w:color w:val="000000" w:themeColor="text1"/>
          <w:sz w:val="24"/>
          <w:szCs w:val="24"/>
        </w:rPr>
        <w:t xml:space="preserve"> melhor enquadrar o conceito de </w:t>
      </w:r>
      <w:r w:rsidR="00854E7A" w:rsidRPr="009545B7">
        <w:rPr>
          <w:rFonts w:ascii="Times New Roman" w:hAnsi="Times New Roman" w:cs="Times New Roman"/>
          <w:color w:val="000000" w:themeColor="text1"/>
          <w:sz w:val="24"/>
          <w:szCs w:val="24"/>
        </w:rPr>
        <w:t>T</w:t>
      </w:r>
      <w:r w:rsidR="003F6F9A" w:rsidRPr="009545B7">
        <w:rPr>
          <w:rFonts w:ascii="Times New Roman" w:hAnsi="Times New Roman" w:cs="Times New Roman"/>
          <w:color w:val="000000" w:themeColor="text1"/>
          <w:sz w:val="24"/>
          <w:szCs w:val="24"/>
        </w:rPr>
        <w:t>ransparência e como el</w:t>
      </w:r>
      <w:r w:rsidR="003D33A6">
        <w:rPr>
          <w:rFonts w:ascii="Times New Roman" w:hAnsi="Times New Roman" w:cs="Times New Roman"/>
          <w:color w:val="000000" w:themeColor="text1"/>
          <w:sz w:val="24"/>
          <w:szCs w:val="24"/>
        </w:rPr>
        <w:t>e</w:t>
      </w:r>
      <w:r w:rsidR="003F6F9A" w:rsidRPr="009545B7">
        <w:rPr>
          <w:rFonts w:ascii="Times New Roman" w:hAnsi="Times New Roman" w:cs="Times New Roman"/>
          <w:color w:val="000000" w:themeColor="text1"/>
          <w:sz w:val="24"/>
          <w:szCs w:val="24"/>
        </w:rPr>
        <w:t xml:space="preserve"> contribui com os avanços no Setor de Defesa, destaca-se a visão de Matias</w:t>
      </w:r>
      <w:r w:rsidR="006F48D2" w:rsidRPr="009545B7">
        <w:rPr>
          <w:rFonts w:ascii="Times New Roman" w:hAnsi="Times New Roman" w:cs="Times New Roman"/>
          <w:color w:val="000000" w:themeColor="text1"/>
          <w:sz w:val="24"/>
          <w:szCs w:val="24"/>
        </w:rPr>
        <w:t>-</w:t>
      </w:r>
      <w:r w:rsidR="003F6F9A" w:rsidRPr="009545B7">
        <w:rPr>
          <w:rFonts w:ascii="Times New Roman" w:hAnsi="Times New Roman" w:cs="Times New Roman"/>
          <w:color w:val="000000" w:themeColor="text1"/>
          <w:sz w:val="24"/>
          <w:szCs w:val="24"/>
        </w:rPr>
        <w:t>Pereira (201</w:t>
      </w:r>
      <w:r w:rsidR="00A67DC3" w:rsidRPr="009545B7">
        <w:rPr>
          <w:rFonts w:ascii="Times New Roman" w:hAnsi="Times New Roman" w:cs="Times New Roman"/>
          <w:color w:val="000000" w:themeColor="text1"/>
          <w:sz w:val="24"/>
          <w:szCs w:val="24"/>
        </w:rPr>
        <w:t>6</w:t>
      </w:r>
      <w:r w:rsidR="003F6F9A" w:rsidRPr="009545B7">
        <w:rPr>
          <w:rFonts w:ascii="Times New Roman" w:hAnsi="Times New Roman" w:cs="Times New Roman"/>
          <w:color w:val="000000" w:themeColor="text1"/>
          <w:sz w:val="24"/>
          <w:szCs w:val="24"/>
        </w:rPr>
        <w:t xml:space="preserve">), o qual defende que </w:t>
      </w:r>
      <w:r w:rsidR="00854E7A" w:rsidRPr="009545B7">
        <w:rPr>
          <w:rFonts w:ascii="Times New Roman" w:hAnsi="Times New Roman" w:cs="Times New Roman"/>
          <w:color w:val="000000" w:themeColor="text1"/>
          <w:sz w:val="24"/>
          <w:szCs w:val="24"/>
        </w:rPr>
        <w:t>T</w:t>
      </w:r>
      <w:r w:rsidR="003F6F9A" w:rsidRPr="009545B7">
        <w:rPr>
          <w:rFonts w:ascii="Times New Roman" w:hAnsi="Times New Roman" w:cs="Times New Roman"/>
          <w:color w:val="000000" w:themeColor="text1"/>
          <w:sz w:val="24"/>
          <w:szCs w:val="24"/>
        </w:rPr>
        <w:t xml:space="preserve">ransparência, bem como os instrumentos de gestão administrativa e a boa </w:t>
      </w:r>
      <w:r w:rsidR="00854E7A" w:rsidRPr="009545B7">
        <w:rPr>
          <w:rFonts w:ascii="Times New Roman" w:hAnsi="Times New Roman" w:cs="Times New Roman"/>
          <w:color w:val="000000" w:themeColor="text1"/>
          <w:sz w:val="24"/>
          <w:szCs w:val="24"/>
        </w:rPr>
        <w:t>G</w:t>
      </w:r>
      <w:r w:rsidR="003F6F9A" w:rsidRPr="009545B7">
        <w:rPr>
          <w:rFonts w:ascii="Times New Roman" w:hAnsi="Times New Roman" w:cs="Times New Roman"/>
          <w:color w:val="000000" w:themeColor="text1"/>
          <w:sz w:val="24"/>
          <w:szCs w:val="24"/>
        </w:rPr>
        <w:t xml:space="preserve">overnança, formam a base para a </w:t>
      </w:r>
      <w:r w:rsidR="00854E7A" w:rsidRPr="009545B7">
        <w:rPr>
          <w:rFonts w:ascii="Times New Roman" w:hAnsi="Times New Roman" w:cs="Times New Roman"/>
          <w:color w:val="000000" w:themeColor="text1"/>
          <w:sz w:val="24"/>
          <w:szCs w:val="24"/>
        </w:rPr>
        <w:t>G</w:t>
      </w:r>
      <w:r w:rsidR="003F6F9A" w:rsidRPr="009545B7">
        <w:rPr>
          <w:rFonts w:ascii="Times New Roman" w:hAnsi="Times New Roman" w:cs="Times New Roman"/>
          <w:color w:val="000000" w:themeColor="text1"/>
          <w:sz w:val="24"/>
          <w:szCs w:val="24"/>
        </w:rPr>
        <w:t>overnança pública, enquanto paradigma.</w:t>
      </w:r>
    </w:p>
    <w:p w14:paraId="2637F080" w14:textId="69EF2232" w:rsidR="003F6F9A" w:rsidRPr="009545B7" w:rsidRDefault="003F6F9A" w:rsidP="0051145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Dessa forma, esse artigo se propõe a responder à seguinte pergunta: A </w:t>
      </w:r>
      <w:r w:rsidR="00237C7D"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w:t>
      </w:r>
      <w:r w:rsidR="00237C7D" w:rsidRPr="009545B7">
        <w:rPr>
          <w:rFonts w:ascii="Times New Roman" w:hAnsi="Times New Roman" w:cs="Times New Roman"/>
          <w:color w:val="000000" w:themeColor="text1"/>
          <w:sz w:val="24"/>
          <w:szCs w:val="24"/>
        </w:rPr>
        <w:t>P</w:t>
      </w:r>
      <w:r w:rsidRPr="009545B7">
        <w:rPr>
          <w:rFonts w:ascii="Times New Roman" w:hAnsi="Times New Roman" w:cs="Times New Roman"/>
          <w:color w:val="000000" w:themeColor="text1"/>
          <w:sz w:val="24"/>
          <w:szCs w:val="24"/>
        </w:rPr>
        <w:t xml:space="preserve">ública contribui para a Governança em Defesa? A relevância deste trabalho pauta-se na </w:t>
      </w:r>
      <w:r w:rsidR="00237C7D" w:rsidRPr="009545B7">
        <w:rPr>
          <w:rFonts w:ascii="Times New Roman" w:hAnsi="Times New Roman" w:cs="Times New Roman"/>
          <w:color w:val="000000" w:themeColor="text1"/>
          <w:sz w:val="24"/>
          <w:szCs w:val="24"/>
        </w:rPr>
        <w:t>importância</w:t>
      </w:r>
      <w:r w:rsidRPr="009545B7">
        <w:rPr>
          <w:rFonts w:ascii="Times New Roman" w:hAnsi="Times New Roman" w:cs="Times New Roman"/>
          <w:color w:val="000000" w:themeColor="text1"/>
          <w:sz w:val="24"/>
          <w:szCs w:val="24"/>
        </w:rPr>
        <w:t xml:space="preserve"> do conceito de Transparência Pública e </w:t>
      </w:r>
      <w:r w:rsidR="009C001C" w:rsidRPr="009545B7">
        <w:rPr>
          <w:rFonts w:ascii="Times New Roman" w:hAnsi="Times New Roman" w:cs="Times New Roman"/>
          <w:color w:val="000000" w:themeColor="text1"/>
          <w:sz w:val="24"/>
          <w:szCs w:val="24"/>
        </w:rPr>
        <w:t>d</w:t>
      </w:r>
      <w:r w:rsidRPr="009545B7">
        <w:rPr>
          <w:rFonts w:ascii="Times New Roman" w:hAnsi="Times New Roman" w:cs="Times New Roman"/>
          <w:color w:val="000000" w:themeColor="text1"/>
          <w:sz w:val="24"/>
          <w:szCs w:val="24"/>
        </w:rPr>
        <w:t xml:space="preserve">e sua atuação como um vetor na evolução de melhores práticas de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overnança, nos avanços na gestão administrativa e no fomento da mentalidade de Defesa. Desta forma, abordou-se o tema sob a perspectiva de um setor que possui particularidades em relação aos demais setores da Administração Pública Federal, contribuindo para o incremento de referencial teórico para os Estudos no âmbito da Defesa.</w:t>
      </w:r>
    </w:p>
    <w:p w14:paraId="13CB6BD4" w14:textId="3E3E62A7" w:rsidR="003F6F9A" w:rsidRPr="009545B7" w:rsidRDefault="003F6F9A" w:rsidP="0051145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O presente artigo possui como objetivo geral compreender de que forma o princípio da  </w:t>
      </w:r>
      <w:r w:rsidR="00854E7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contribui para a Governança no Setor de Defesa Nacional, e para alcançar esse objetivo serão analisadas as seguintes questões: </w:t>
      </w:r>
      <w:r w:rsidR="003D33A6">
        <w:rPr>
          <w:rFonts w:ascii="Times New Roman" w:hAnsi="Times New Roman" w:cs="Times New Roman"/>
          <w:color w:val="000000" w:themeColor="text1"/>
          <w:sz w:val="24"/>
          <w:szCs w:val="24"/>
        </w:rPr>
        <w:t>a</w:t>
      </w:r>
      <w:r w:rsidRPr="009545B7">
        <w:rPr>
          <w:rFonts w:ascii="Times New Roman" w:hAnsi="Times New Roman" w:cs="Times New Roman"/>
          <w:color w:val="000000" w:themeColor="text1"/>
          <w:sz w:val="24"/>
          <w:szCs w:val="24"/>
        </w:rPr>
        <w:t xml:space="preserve">) Quais as definições de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e </w:t>
      </w:r>
      <w:r w:rsidR="00854E7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ransparência aplicam-se ao Setor Público, b) Quais destas dimensões se relacionam com o Setor de Defesa e c) Discussão acerca de oportunidades de melhorias no âmbito desta pesquisa.</w:t>
      </w:r>
    </w:p>
    <w:p w14:paraId="1EE9EC01" w14:textId="391770C4" w:rsidR="00842C1F" w:rsidRPr="009545B7" w:rsidRDefault="00842C1F" w:rsidP="0051145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Por fim, o artigo estrutura-se em cinco seções. A primeira contextualiza o tema, apresenta o problema de pesquisa e define os objetivos do estudo. A segunda seção apresenta a teoria que servirá como base para responder às questões da pesquisa. A terceira seção trata da metodologia aplicada à pesquisa. Na quarta, os dados obtidos foram confrontados com o referencial teórico. Na última seção, foram apresentadas as considerações finais, conclusões, limitações e as sugestões para futuras pesquisas. </w:t>
      </w:r>
    </w:p>
    <w:p w14:paraId="534DF002" w14:textId="77777777" w:rsidR="00B84AF0" w:rsidRPr="009545B7" w:rsidRDefault="00B84AF0" w:rsidP="00511457">
      <w:pPr>
        <w:autoSpaceDE w:val="0"/>
        <w:autoSpaceDN w:val="0"/>
        <w:adjustRightInd w:val="0"/>
        <w:spacing w:after="0" w:line="240" w:lineRule="auto"/>
        <w:rPr>
          <w:rFonts w:ascii="Times New Roman" w:hAnsi="Times New Roman" w:cs="Times New Roman"/>
          <w:color w:val="000000" w:themeColor="text1"/>
          <w:sz w:val="24"/>
          <w:szCs w:val="24"/>
        </w:rPr>
      </w:pPr>
    </w:p>
    <w:p w14:paraId="5BE43B49" w14:textId="0F91AA0C" w:rsidR="00F57610" w:rsidRDefault="00842C1F" w:rsidP="00511457">
      <w:pPr>
        <w:pStyle w:val="Estilo1"/>
        <w:spacing w:before="0"/>
        <w:rPr>
          <w:rFonts w:ascii="Times New Roman" w:hAnsi="Times New Roman" w:cs="Times New Roman"/>
          <w:color w:val="000000" w:themeColor="text1"/>
        </w:rPr>
      </w:pPr>
      <w:bookmarkStart w:id="1" w:name="_Toc118763481"/>
      <w:r w:rsidRPr="009545B7">
        <w:rPr>
          <w:rFonts w:ascii="Times New Roman" w:hAnsi="Times New Roman" w:cs="Times New Roman"/>
          <w:color w:val="000000" w:themeColor="text1"/>
        </w:rPr>
        <w:t>2 REFERENCIAL TEÓRICO</w:t>
      </w:r>
      <w:bookmarkEnd w:id="1"/>
    </w:p>
    <w:p w14:paraId="62354A13" w14:textId="77777777" w:rsidR="00B1196D" w:rsidRPr="009545B7" w:rsidRDefault="00B1196D" w:rsidP="00511457">
      <w:pPr>
        <w:pStyle w:val="Estilo1"/>
        <w:spacing w:before="0"/>
        <w:rPr>
          <w:rFonts w:ascii="Times New Roman" w:hAnsi="Times New Roman" w:cs="Times New Roman"/>
          <w:color w:val="000000" w:themeColor="text1"/>
        </w:rPr>
      </w:pPr>
    </w:p>
    <w:p w14:paraId="28ACAB5E" w14:textId="3167B230" w:rsidR="00F57610" w:rsidRDefault="00842C1F" w:rsidP="00511457">
      <w:pPr>
        <w:pStyle w:val="Estilo2"/>
        <w:spacing w:before="0" w:after="0" w:line="240" w:lineRule="auto"/>
        <w:rPr>
          <w:rFonts w:ascii="Times New Roman" w:hAnsi="Times New Roman" w:cs="Times New Roman"/>
          <w:color w:val="000000" w:themeColor="text1"/>
        </w:rPr>
      </w:pPr>
      <w:bookmarkStart w:id="2" w:name="_Toc118763482"/>
      <w:r w:rsidRPr="009545B7">
        <w:rPr>
          <w:rFonts w:ascii="Times New Roman" w:hAnsi="Times New Roman" w:cs="Times New Roman"/>
          <w:color w:val="000000" w:themeColor="text1"/>
        </w:rPr>
        <w:t>2.1 GOVERNANÇA NO SETOR PÚBLICO</w:t>
      </w:r>
      <w:bookmarkEnd w:id="2"/>
      <w:r w:rsidRPr="009545B7">
        <w:rPr>
          <w:rFonts w:ascii="Times New Roman" w:hAnsi="Times New Roman" w:cs="Times New Roman"/>
          <w:color w:val="000000" w:themeColor="text1"/>
        </w:rPr>
        <w:t xml:space="preserve"> </w:t>
      </w:r>
    </w:p>
    <w:p w14:paraId="722BBBDE" w14:textId="77777777" w:rsidR="00B1196D" w:rsidRPr="009545B7" w:rsidRDefault="00B1196D" w:rsidP="00511457">
      <w:pPr>
        <w:pStyle w:val="Estilo2"/>
        <w:spacing w:before="0" w:after="0" w:line="240" w:lineRule="auto"/>
        <w:rPr>
          <w:rFonts w:ascii="Times New Roman" w:hAnsi="Times New Roman" w:cs="Times New Roman"/>
          <w:color w:val="000000" w:themeColor="text1"/>
        </w:rPr>
      </w:pPr>
    </w:p>
    <w:p w14:paraId="36859332" w14:textId="0EFBA08E"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bookmarkStart w:id="3" w:name="_Toc118763483"/>
      <w:r w:rsidRPr="009545B7">
        <w:rPr>
          <w:rFonts w:ascii="Times New Roman" w:hAnsi="Times New Roman" w:cs="Times New Roman"/>
          <w:color w:val="000000" w:themeColor="text1"/>
        </w:rPr>
        <w:t xml:space="preserve">Segundo Teixeira e Gomes (2019),  o conceito de </w:t>
      </w:r>
      <w:r w:rsidR="00854E7A" w:rsidRPr="009545B7">
        <w:rPr>
          <w:rFonts w:ascii="Times New Roman" w:hAnsi="Times New Roman" w:cs="Times New Roman"/>
          <w:color w:val="000000" w:themeColor="text1"/>
        </w:rPr>
        <w:t>G</w:t>
      </w:r>
      <w:r w:rsidRPr="009545B7">
        <w:rPr>
          <w:rFonts w:ascii="Times New Roman" w:hAnsi="Times New Roman" w:cs="Times New Roman"/>
          <w:color w:val="000000" w:themeColor="text1"/>
        </w:rPr>
        <w:t>overnança tem sua origem no distanciamento dos proprietários da gestão de seus próprios empreendimentos. Segundo o autor visa-se alinhar as expectativas dos gestores responsáveis às dos proprietários de modo a estabelecer ações que permitam dirigir, monitorar e controlar as organizações para o alcance dos resultados vislumbrados. Dessa forma, segundo os autores, estabelece-se uma relação Principal-Agente.</w:t>
      </w:r>
    </w:p>
    <w:p w14:paraId="3D6CC333" w14:textId="77777777"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Osborne (2010) defende que a o conceito de Governança Pública está intimamente ligado aos debates sobre políticas públicas. Nesse contexto, Oliveira e Pisa (2015) conceituam, politicas públicas como ações  realizadas por um governo, o qual opta por implementá-las objetivando o atendimento de demandas públicas. </w:t>
      </w:r>
    </w:p>
    <w:p w14:paraId="108953CC" w14:textId="4BB7D2AC"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O Referencial Básico de Governança Organizacional do</w:t>
      </w:r>
      <w:r w:rsidR="00B260E6" w:rsidRPr="009545B7">
        <w:rPr>
          <w:rFonts w:ascii="Times New Roman" w:hAnsi="Times New Roman" w:cs="Times New Roman"/>
          <w:color w:val="000000" w:themeColor="text1"/>
        </w:rPr>
        <w:t xml:space="preserve"> Tribunal de Contas da União</w:t>
      </w:r>
      <w:r w:rsidRPr="009545B7">
        <w:rPr>
          <w:rFonts w:ascii="Times New Roman" w:hAnsi="Times New Roman" w:cs="Times New Roman"/>
          <w:color w:val="000000" w:themeColor="text1"/>
        </w:rPr>
        <w:t xml:space="preserve"> </w:t>
      </w:r>
      <w:r w:rsidR="00B260E6" w:rsidRPr="009545B7">
        <w:rPr>
          <w:rFonts w:ascii="Times New Roman" w:hAnsi="Times New Roman" w:cs="Times New Roman"/>
          <w:color w:val="000000" w:themeColor="text1"/>
        </w:rPr>
        <w:t>(</w:t>
      </w:r>
      <w:r w:rsidRPr="009545B7">
        <w:rPr>
          <w:rFonts w:ascii="Times New Roman" w:hAnsi="Times New Roman" w:cs="Times New Roman"/>
          <w:color w:val="000000" w:themeColor="text1"/>
        </w:rPr>
        <w:t>TCU</w:t>
      </w:r>
      <w:r w:rsidR="00B260E6" w:rsidRPr="009545B7">
        <w:rPr>
          <w:rFonts w:ascii="Times New Roman" w:hAnsi="Times New Roman" w:cs="Times New Roman"/>
          <w:color w:val="000000" w:themeColor="text1"/>
        </w:rPr>
        <w:t>)</w:t>
      </w:r>
      <w:r w:rsidRPr="009545B7">
        <w:rPr>
          <w:rFonts w:ascii="Times New Roman" w:hAnsi="Times New Roman" w:cs="Times New Roman"/>
          <w:color w:val="000000" w:themeColor="text1"/>
        </w:rPr>
        <w:t>, defende que a saturação do modelo de Administração Pública exerceu papel preponderante  no desenvolvimento do modelo de Administração Pública Gerencial, visando tornar o Estado mais eficiente e capaz de suprir as crescentes demandas com melhor qualidade</w:t>
      </w:r>
      <w:r w:rsidR="00B260E6" w:rsidRPr="009545B7">
        <w:rPr>
          <w:rFonts w:ascii="Times New Roman" w:hAnsi="Times New Roman" w:cs="Times New Roman"/>
          <w:color w:val="000000" w:themeColor="text1"/>
        </w:rPr>
        <w:t xml:space="preserve"> (BRASIL, 2020)</w:t>
      </w:r>
      <w:r w:rsidRPr="009545B7">
        <w:rPr>
          <w:rFonts w:ascii="Times New Roman" w:hAnsi="Times New Roman" w:cs="Times New Roman"/>
          <w:color w:val="000000" w:themeColor="text1"/>
        </w:rPr>
        <w:t>.</w:t>
      </w:r>
    </w:p>
    <w:p w14:paraId="7F606B88" w14:textId="51994D4A" w:rsidR="003F6F9A" w:rsidRPr="009545B7" w:rsidRDefault="00F55E07" w:rsidP="00511457">
      <w:pPr>
        <w:pStyle w:val="Estilo2"/>
        <w:spacing w:before="0" w:after="0" w:line="240" w:lineRule="auto"/>
        <w:ind w:firstLine="708"/>
        <w:rPr>
          <w:rFonts w:ascii="Times New Roman" w:hAnsi="Times New Roman" w:cs="Times New Roman"/>
          <w:color w:val="000000" w:themeColor="text1"/>
        </w:rPr>
      </w:pPr>
      <w:r>
        <w:rPr>
          <w:rFonts w:ascii="Times New Roman" w:hAnsi="Times New Roman" w:cs="Times New Roman"/>
          <w:color w:val="000000" w:themeColor="text1"/>
        </w:rPr>
        <w:t>Conforme</w:t>
      </w:r>
      <w:r w:rsidR="003F6F9A" w:rsidRPr="009545B7">
        <w:rPr>
          <w:rFonts w:ascii="Times New Roman" w:hAnsi="Times New Roman" w:cs="Times New Roman"/>
          <w:color w:val="000000" w:themeColor="text1"/>
        </w:rPr>
        <w:t xml:space="preserve"> os entendimentos de  Matias-Pereira (201</w:t>
      </w:r>
      <w:r w:rsidR="00237C7D" w:rsidRPr="009545B7">
        <w:rPr>
          <w:rFonts w:ascii="Times New Roman" w:hAnsi="Times New Roman" w:cs="Times New Roman"/>
          <w:color w:val="000000" w:themeColor="text1"/>
        </w:rPr>
        <w:t>6</w:t>
      </w:r>
      <w:r w:rsidR="003F6F9A" w:rsidRPr="009545B7">
        <w:rPr>
          <w:rFonts w:ascii="Times New Roman" w:hAnsi="Times New Roman" w:cs="Times New Roman"/>
          <w:color w:val="000000" w:themeColor="text1"/>
        </w:rPr>
        <w:t xml:space="preserve">) as mudanças dos paradigmas de </w:t>
      </w:r>
      <w:r w:rsidR="00854E7A" w:rsidRPr="009545B7">
        <w:rPr>
          <w:rFonts w:ascii="Times New Roman" w:hAnsi="Times New Roman" w:cs="Times New Roman"/>
          <w:color w:val="000000" w:themeColor="text1"/>
        </w:rPr>
        <w:t>G</w:t>
      </w:r>
      <w:r w:rsidR="003F6F9A" w:rsidRPr="009545B7">
        <w:rPr>
          <w:rFonts w:ascii="Times New Roman" w:hAnsi="Times New Roman" w:cs="Times New Roman"/>
          <w:color w:val="000000" w:themeColor="text1"/>
        </w:rPr>
        <w:t xml:space="preserve">overnança têm como fonte principal as alterações estruturais introduzidas na política pública nas últimas três décadas, sendo parte da resposta dada para uma gestão pública  cada vez mais voltada para anseios e demandas reais dos cidadãos. Esse movimento estimula o </w:t>
      </w:r>
      <w:r w:rsidR="003F6F9A" w:rsidRPr="009545B7">
        <w:rPr>
          <w:rFonts w:ascii="Times New Roman" w:hAnsi="Times New Roman" w:cs="Times New Roman"/>
          <w:color w:val="000000" w:themeColor="text1"/>
        </w:rPr>
        <w:lastRenderedPageBreak/>
        <w:t>desenvolvimento de um novo conceito conhecido por Nova Governança Pública (OSBORNE, 2010).</w:t>
      </w:r>
    </w:p>
    <w:p w14:paraId="310A49FA" w14:textId="3D9D31BC"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No Brasil, a estruturação e a consolidação de um modelo de </w:t>
      </w:r>
      <w:r w:rsidR="00854E7A" w:rsidRPr="009545B7">
        <w:rPr>
          <w:rFonts w:ascii="Times New Roman" w:hAnsi="Times New Roman" w:cs="Times New Roman"/>
          <w:color w:val="000000" w:themeColor="text1"/>
        </w:rPr>
        <w:t>G</w:t>
      </w:r>
      <w:r w:rsidRPr="009545B7">
        <w:rPr>
          <w:rFonts w:ascii="Times New Roman" w:hAnsi="Times New Roman" w:cs="Times New Roman"/>
          <w:color w:val="000000" w:themeColor="text1"/>
        </w:rPr>
        <w:t xml:space="preserve">overnança para o setor público foi motivada pela atuação do </w:t>
      </w:r>
      <w:r w:rsidR="00B260E6" w:rsidRPr="009545B7">
        <w:rPr>
          <w:rFonts w:ascii="Times New Roman" w:hAnsi="Times New Roman" w:cs="Times New Roman"/>
          <w:color w:val="000000" w:themeColor="text1"/>
        </w:rPr>
        <w:t xml:space="preserve">TCU, </w:t>
      </w:r>
      <w:r w:rsidRPr="009545B7">
        <w:rPr>
          <w:rFonts w:ascii="Times New Roman" w:hAnsi="Times New Roman" w:cs="Times New Roman"/>
          <w:color w:val="000000" w:themeColor="text1"/>
        </w:rPr>
        <w:t xml:space="preserve">mediante a publicação do Referencial Básico de Governança Aplicável a Órgãos e Entidades da Administração Pública, </w:t>
      </w:r>
      <w:r w:rsidR="006F48D2" w:rsidRPr="009545B7">
        <w:rPr>
          <w:rFonts w:ascii="Times New Roman" w:hAnsi="Times New Roman" w:cs="Times New Roman"/>
          <w:color w:val="000000" w:themeColor="text1"/>
        </w:rPr>
        <w:t>nas</w:t>
      </w:r>
      <w:r w:rsidRPr="009545B7">
        <w:rPr>
          <w:rFonts w:ascii="Times New Roman" w:hAnsi="Times New Roman" w:cs="Times New Roman"/>
          <w:color w:val="000000" w:themeColor="text1"/>
        </w:rPr>
        <w:t xml:space="preserve"> versões 1.0 e 2.0</w:t>
      </w:r>
      <w:r w:rsidR="005F278B" w:rsidRPr="009545B7">
        <w:rPr>
          <w:rFonts w:ascii="Times New Roman" w:hAnsi="Times New Roman" w:cs="Times New Roman"/>
          <w:color w:val="000000" w:themeColor="text1"/>
        </w:rPr>
        <w:t>.</w:t>
      </w:r>
    </w:p>
    <w:p w14:paraId="72C4C22D" w14:textId="598772AB" w:rsidR="003F6F9A" w:rsidRPr="009545B7" w:rsidRDefault="00F55E07" w:rsidP="00511457">
      <w:pPr>
        <w:pStyle w:val="Estilo2"/>
        <w:spacing w:before="0" w:after="0" w:line="240" w:lineRule="auto"/>
        <w:ind w:firstLine="708"/>
        <w:rPr>
          <w:rFonts w:ascii="Times New Roman" w:hAnsi="Times New Roman" w:cs="Times New Roman"/>
          <w:color w:val="000000" w:themeColor="text1"/>
        </w:rPr>
      </w:pPr>
      <w:r>
        <w:rPr>
          <w:rFonts w:ascii="Times New Roman" w:hAnsi="Times New Roman" w:cs="Times New Roman"/>
          <w:color w:val="000000" w:themeColor="text1"/>
        </w:rPr>
        <w:t>Consoante</w:t>
      </w:r>
      <w:r w:rsidR="003F6F9A" w:rsidRPr="009545B7">
        <w:rPr>
          <w:rFonts w:ascii="Times New Roman" w:hAnsi="Times New Roman" w:cs="Times New Roman"/>
          <w:color w:val="000000" w:themeColor="text1"/>
        </w:rPr>
        <w:t xml:space="preserve"> o entendimento de Santos (2018), no Setor Público, o cidadão exerce o papel de Principal, pois compartilha as percepções de finalidade e valor, </w:t>
      </w:r>
      <w:r w:rsidR="00237C7D" w:rsidRPr="009545B7">
        <w:rPr>
          <w:rFonts w:ascii="Times New Roman" w:hAnsi="Times New Roman" w:cs="Times New Roman"/>
          <w:color w:val="000000" w:themeColor="text1"/>
        </w:rPr>
        <w:t xml:space="preserve">e é </w:t>
      </w:r>
      <w:r w:rsidR="003F6F9A" w:rsidRPr="009545B7">
        <w:rPr>
          <w:rFonts w:ascii="Times New Roman" w:hAnsi="Times New Roman" w:cs="Times New Roman"/>
          <w:color w:val="000000" w:themeColor="text1"/>
        </w:rPr>
        <w:t>detentor do poder social, exercendo-o de forma conjunta e ordenada por meio de um estrutura concebida para representá-lo, o Poder Legislativo.</w:t>
      </w:r>
    </w:p>
    <w:p w14:paraId="015A27B2" w14:textId="607BC7F0"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No plano jurídico brasileiro, muitos atos sancionados alinham-se </w:t>
      </w:r>
      <w:r w:rsidR="00F55E07">
        <w:rPr>
          <w:rFonts w:ascii="Times New Roman" w:hAnsi="Times New Roman" w:cs="Times New Roman"/>
          <w:color w:val="000000" w:themeColor="text1"/>
        </w:rPr>
        <w:t>à</w:t>
      </w:r>
      <w:r w:rsidRPr="009545B7">
        <w:rPr>
          <w:rFonts w:ascii="Times New Roman" w:hAnsi="Times New Roman" w:cs="Times New Roman"/>
          <w:color w:val="000000" w:themeColor="text1"/>
        </w:rPr>
        <w:t xml:space="preserve"> visão de melhoria da Governança Pública, </w:t>
      </w:r>
      <w:r w:rsidR="006F48D2" w:rsidRPr="009545B7">
        <w:rPr>
          <w:rFonts w:ascii="Times New Roman" w:hAnsi="Times New Roman" w:cs="Times New Roman"/>
          <w:color w:val="000000" w:themeColor="text1"/>
        </w:rPr>
        <w:t>destacando-se</w:t>
      </w:r>
      <w:r w:rsidRPr="009545B7">
        <w:rPr>
          <w:rFonts w:ascii="Times New Roman" w:hAnsi="Times New Roman" w:cs="Times New Roman"/>
          <w:color w:val="000000" w:themeColor="text1"/>
        </w:rPr>
        <w:t xml:space="preserve"> a Lei de Responsabilidade Fiscal (BRASIL, 2000) e a Lei de Acesso à Informação (LAI) (BRASIL, 2011). </w:t>
      </w:r>
    </w:p>
    <w:p w14:paraId="7AB18824" w14:textId="45C879F1"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Mais adiante, com a assinatura do Decreto nº 9.203/2017, o Estado brasileiro regulou as ações exercidas pela Administração Pública efetivando a </w:t>
      </w:r>
      <w:r w:rsidR="00854E7A" w:rsidRPr="009545B7">
        <w:rPr>
          <w:rFonts w:ascii="Times New Roman" w:hAnsi="Times New Roman" w:cs="Times New Roman"/>
          <w:color w:val="000000" w:themeColor="text1"/>
        </w:rPr>
        <w:t>G</w:t>
      </w:r>
      <w:r w:rsidRPr="009545B7">
        <w:rPr>
          <w:rFonts w:ascii="Times New Roman" w:hAnsi="Times New Roman" w:cs="Times New Roman"/>
          <w:color w:val="000000" w:themeColor="text1"/>
        </w:rPr>
        <w:t xml:space="preserve">overnança nos órgãos e entidades do Setor Público, visando ao desenvolvimento de mecanismos de </w:t>
      </w:r>
      <w:r w:rsidR="00854E7A" w:rsidRPr="009545B7">
        <w:rPr>
          <w:rFonts w:ascii="Times New Roman" w:hAnsi="Times New Roman" w:cs="Times New Roman"/>
          <w:color w:val="000000" w:themeColor="text1"/>
        </w:rPr>
        <w:t>G</w:t>
      </w:r>
      <w:r w:rsidRPr="009545B7">
        <w:rPr>
          <w:rFonts w:ascii="Times New Roman" w:hAnsi="Times New Roman" w:cs="Times New Roman"/>
          <w:color w:val="000000" w:themeColor="text1"/>
        </w:rPr>
        <w:t xml:space="preserve">overnança, direcionando e monitorando  a gestão pública, com o objetivo de promover políticas públicas e a prestação de serviços de interesse dos cidadãos. </w:t>
      </w:r>
    </w:p>
    <w:p w14:paraId="07C0BAEE" w14:textId="0EF75742"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Segundo o Referencial Básico de Governança Organizacional do Tribunal de Contas da União, existem princípios que funcionam como valores interdependentes e norteadores da atuação das organizações públicas na busca de resultados vislumbrados e responsáveis pelo fortalecimento da confiança por parte da sociedades nestas instituições. </w:t>
      </w:r>
      <w:r w:rsidR="005F278B" w:rsidRPr="009545B7">
        <w:rPr>
          <w:rFonts w:ascii="Times New Roman" w:hAnsi="Times New Roman" w:cs="Times New Roman"/>
          <w:color w:val="000000" w:themeColor="text1"/>
        </w:rPr>
        <w:t xml:space="preserve">(BRASIL, 2020) </w:t>
      </w:r>
      <w:r w:rsidRPr="009545B7">
        <w:rPr>
          <w:rFonts w:ascii="Times New Roman" w:hAnsi="Times New Roman" w:cs="Times New Roman"/>
          <w:color w:val="000000" w:themeColor="text1"/>
        </w:rPr>
        <w:t>Dentre eles encontra-se o princípio da Transparência (DE GRAAF E PAANAKKER, 201</w:t>
      </w:r>
      <w:r w:rsidR="0043149E" w:rsidRPr="009545B7">
        <w:rPr>
          <w:rFonts w:ascii="Times New Roman" w:hAnsi="Times New Roman" w:cs="Times New Roman"/>
          <w:color w:val="000000" w:themeColor="text1"/>
        </w:rPr>
        <w:t>4</w:t>
      </w:r>
      <w:r w:rsidRPr="009545B7">
        <w:rPr>
          <w:rFonts w:ascii="Times New Roman" w:hAnsi="Times New Roman" w:cs="Times New Roman"/>
          <w:color w:val="000000" w:themeColor="text1"/>
        </w:rPr>
        <w:t xml:space="preserve">). </w:t>
      </w:r>
    </w:p>
    <w:p w14:paraId="07CFE00E" w14:textId="48A2D63A" w:rsidR="003F6F9A" w:rsidRPr="009545B7"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Para Bernstein (201</w:t>
      </w:r>
      <w:r w:rsidR="0043149E" w:rsidRPr="009545B7">
        <w:rPr>
          <w:rFonts w:ascii="Times New Roman" w:hAnsi="Times New Roman" w:cs="Times New Roman"/>
          <w:color w:val="000000" w:themeColor="text1"/>
        </w:rPr>
        <w:t>6</w:t>
      </w:r>
      <w:r w:rsidRPr="009545B7">
        <w:rPr>
          <w:rFonts w:ascii="Times New Roman" w:hAnsi="Times New Roman" w:cs="Times New Roman"/>
          <w:color w:val="000000" w:themeColor="text1"/>
        </w:rPr>
        <w:t xml:space="preserve">), a literatura que aborda o conceito de </w:t>
      </w:r>
      <w:r w:rsidR="00854E7A" w:rsidRPr="009545B7">
        <w:rPr>
          <w:rFonts w:ascii="Times New Roman" w:hAnsi="Times New Roman" w:cs="Times New Roman"/>
          <w:color w:val="000000" w:themeColor="text1"/>
        </w:rPr>
        <w:t>G</w:t>
      </w:r>
      <w:r w:rsidRPr="009545B7">
        <w:rPr>
          <w:rFonts w:ascii="Times New Roman" w:hAnsi="Times New Roman" w:cs="Times New Roman"/>
          <w:color w:val="000000" w:themeColor="text1"/>
        </w:rPr>
        <w:t xml:space="preserve">overnança relaciona-a com a popularização da abordagem do conceito de </w:t>
      </w:r>
      <w:r w:rsidR="00854E7A" w:rsidRPr="009545B7">
        <w:rPr>
          <w:rFonts w:ascii="Times New Roman" w:hAnsi="Times New Roman" w:cs="Times New Roman"/>
          <w:color w:val="000000" w:themeColor="text1"/>
        </w:rPr>
        <w:t>T</w:t>
      </w:r>
      <w:r w:rsidR="006F2E8C" w:rsidRPr="009545B7">
        <w:rPr>
          <w:rFonts w:ascii="Times New Roman" w:hAnsi="Times New Roman" w:cs="Times New Roman"/>
          <w:color w:val="000000" w:themeColor="text1"/>
        </w:rPr>
        <w:t>ransparência</w:t>
      </w:r>
      <w:r w:rsidRPr="009545B7">
        <w:rPr>
          <w:rFonts w:ascii="Times New Roman" w:hAnsi="Times New Roman" w:cs="Times New Roman"/>
          <w:color w:val="000000" w:themeColor="text1"/>
        </w:rPr>
        <w:t xml:space="preserve">. A visão gerada por tal literatura transmuta o entendimento </w:t>
      </w:r>
      <w:r w:rsidR="006F48D2" w:rsidRPr="009545B7">
        <w:rPr>
          <w:rFonts w:ascii="Times New Roman" w:hAnsi="Times New Roman" w:cs="Times New Roman"/>
          <w:color w:val="000000" w:themeColor="text1"/>
        </w:rPr>
        <w:t>da atuação estatal</w:t>
      </w:r>
      <w:r w:rsidRPr="009545B7">
        <w:rPr>
          <w:rFonts w:ascii="Times New Roman" w:hAnsi="Times New Roman" w:cs="Times New Roman"/>
          <w:color w:val="000000" w:themeColor="text1"/>
        </w:rPr>
        <w:t xml:space="preserve"> (SANTOS, 2018).</w:t>
      </w:r>
    </w:p>
    <w:p w14:paraId="680EB865" w14:textId="07B23030" w:rsidR="003F6F9A" w:rsidRDefault="003F6F9A"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Dessa forma, de acordo com os autores supracitados e as legislações atinentes ao tema, percebe-se crescente avanço na construção de conhecimento e normas criadas para auxiliar na construção de uma boa </w:t>
      </w:r>
      <w:r w:rsidR="00BC4E23" w:rsidRPr="009545B7">
        <w:rPr>
          <w:rFonts w:ascii="Times New Roman" w:hAnsi="Times New Roman" w:cs="Times New Roman"/>
          <w:color w:val="000000" w:themeColor="text1"/>
        </w:rPr>
        <w:t>G</w:t>
      </w:r>
      <w:r w:rsidRPr="009545B7">
        <w:rPr>
          <w:rFonts w:ascii="Times New Roman" w:hAnsi="Times New Roman" w:cs="Times New Roman"/>
          <w:color w:val="000000" w:themeColor="text1"/>
        </w:rPr>
        <w:t xml:space="preserve">overnança </w:t>
      </w:r>
      <w:r w:rsidR="00BC4E23" w:rsidRPr="009545B7">
        <w:rPr>
          <w:rFonts w:ascii="Times New Roman" w:hAnsi="Times New Roman" w:cs="Times New Roman"/>
          <w:color w:val="000000" w:themeColor="text1"/>
        </w:rPr>
        <w:t>P</w:t>
      </w:r>
      <w:r w:rsidRPr="009545B7">
        <w:rPr>
          <w:rFonts w:ascii="Times New Roman" w:hAnsi="Times New Roman" w:cs="Times New Roman"/>
          <w:color w:val="000000" w:themeColor="text1"/>
        </w:rPr>
        <w:t xml:space="preserve">ública no país, pautada no principio da </w:t>
      </w:r>
      <w:r w:rsidR="00854E7A" w:rsidRPr="009545B7">
        <w:rPr>
          <w:rFonts w:ascii="Times New Roman" w:hAnsi="Times New Roman" w:cs="Times New Roman"/>
          <w:color w:val="000000" w:themeColor="text1"/>
        </w:rPr>
        <w:t>T</w:t>
      </w:r>
      <w:r w:rsidRPr="009545B7">
        <w:rPr>
          <w:rFonts w:ascii="Times New Roman" w:hAnsi="Times New Roman" w:cs="Times New Roman"/>
          <w:color w:val="000000" w:themeColor="text1"/>
        </w:rPr>
        <w:t>ransparência.</w:t>
      </w:r>
    </w:p>
    <w:p w14:paraId="59EF52E4" w14:textId="77777777" w:rsidR="00F55E07" w:rsidRPr="009545B7" w:rsidRDefault="00F55E07" w:rsidP="00511457">
      <w:pPr>
        <w:pStyle w:val="Estilo2"/>
        <w:spacing w:before="0" w:after="0" w:line="240" w:lineRule="auto"/>
        <w:ind w:firstLine="708"/>
        <w:rPr>
          <w:rFonts w:ascii="Times New Roman" w:hAnsi="Times New Roman" w:cs="Times New Roman"/>
          <w:color w:val="000000" w:themeColor="text1"/>
        </w:rPr>
      </w:pPr>
    </w:p>
    <w:p w14:paraId="58BD3F9F" w14:textId="4F6C080A" w:rsidR="003D33A6" w:rsidRDefault="00842C1F" w:rsidP="00F55E07">
      <w:pPr>
        <w:pStyle w:val="Estilo2"/>
        <w:spacing w:before="0" w:after="0" w:line="240" w:lineRule="auto"/>
        <w:rPr>
          <w:rFonts w:ascii="Times New Roman" w:hAnsi="Times New Roman" w:cs="Times New Roman"/>
          <w:color w:val="000000" w:themeColor="text1"/>
        </w:rPr>
      </w:pPr>
      <w:r w:rsidRPr="009545B7">
        <w:rPr>
          <w:rFonts w:ascii="Times New Roman" w:hAnsi="Times New Roman" w:cs="Times New Roman"/>
          <w:color w:val="000000" w:themeColor="text1"/>
        </w:rPr>
        <w:t>2.2 GOVERNO ABERTO</w:t>
      </w:r>
      <w:bookmarkEnd w:id="3"/>
      <w:r w:rsidRPr="009545B7">
        <w:rPr>
          <w:rFonts w:ascii="Times New Roman" w:hAnsi="Times New Roman" w:cs="Times New Roman"/>
          <w:color w:val="000000" w:themeColor="text1"/>
        </w:rPr>
        <w:t xml:space="preserve"> </w:t>
      </w:r>
    </w:p>
    <w:p w14:paraId="7E7D3661" w14:textId="77777777" w:rsidR="003D33A6" w:rsidRPr="009545B7" w:rsidRDefault="003D33A6" w:rsidP="00F55E07">
      <w:pPr>
        <w:pStyle w:val="Estilo2"/>
        <w:spacing w:before="0" w:after="0" w:line="240" w:lineRule="auto"/>
        <w:rPr>
          <w:rFonts w:ascii="Times New Roman" w:hAnsi="Times New Roman" w:cs="Times New Roman"/>
          <w:color w:val="000000" w:themeColor="text1"/>
        </w:rPr>
      </w:pPr>
    </w:p>
    <w:p w14:paraId="6260CF98" w14:textId="77777777" w:rsidR="00517434" w:rsidRPr="009545B7" w:rsidRDefault="00517434" w:rsidP="00F55E0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Para Klaus (2016) existem diversas vias para a participação cidadã fornecidas pelo Estado, dentre elas, o conceito de Governo Aberto.</w:t>
      </w:r>
    </w:p>
    <w:p w14:paraId="3598F48D" w14:textId="272C10DA" w:rsidR="00517434" w:rsidRPr="009545B7" w:rsidRDefault="00517434" w:rsidP="009545B7">
      <w:pPr>
        <w:autoSpaceDE w:val="0"/>
        <w:autoSpaceDN w:val="0"/>
        <w:spacing w:after="0" w:line="240" w:lineRule="auto"/>
        <w:rPr>
          <w:rFonts w:ascii="Times New Roman" w:hAnsi="Times New Roman" w:cs="Times New Roman"/>
          <w:color w:val="000000" w:themeColor="text1"/>
          <w:sz w:val="18"/>
          <w:szCs w:val="18"/>
        </w:rPr>
      </w:pPr>
      <w:r w:rsidRPr="009545B7">
        <w:rPr>
          <w:rFonts w:ascii="Times New Roman" w:hAnsi="Times New Roman" w:cs="Times New Roman"/>
          <w:color w:val="000000" w:themeColor="text1"/>
          <w:sz w:val="24"/>
          <w:szCs w:val="24"/>
        </w:rPr>
        <w:t>O conceito atual de Governo Aberto teve in</w:t>
      </w:r>
      <w:r w:rsidR="00F55E07">
        <w:rPr>
          <w:rFonts w:ascii="Times New Roman" w:hAnsi="Times New Roman" w:cs="Times New Roman"/>
          <w:color w:val="000000" w:themeColor="text1"/>
          <w:sz w:val="24"/>
          <w:szCs w:val="24"/>
        </w:rPr>
        <w:t>í</w:t>
      </w:r>
      <w:r w:rsidRPr="009545B7">
        <w:rPr>
          <w:rFonts w:ascii="Times New Roman" w:hAnsi="Times New Roman" w:cs="Times New Roman"/>
          <w:color w:val="000000" w:themeColor="text1"/>
          <w:sz w:val="24"/>
          <w:szCs w:val="24"/>
        </w:rPr>
        <w:t>cio em 2009 com o movimento que culminou com a publicação de um memorando sobre Transparência pelo Governo dos Estados Unidos. Outros países seguiram as pioneiras diretrizes do governo americano sob</w:t>
      </w:r>
      <w:r w:rsidR="00F61799" w:rsidRPr="009545B7">
        <w:rPr>
          <w:rFonts w:ascii="Times New Roman" w:hAnsi="Times New Roman" w:cs="Times New Roman"/>
          <w:color w:val="000000" w:themeColor="text1"/>
          <w:sz w:val="24"/>
          <w:szCs w:val="24"/>
        </w:rPr>
        <w:t>r</w:t>
      </w:r>
      <w:r w:rsidRPr="009545B7">
        <w:rPr>
          <w:rFonts w:ascii="Times New Roman" w:hAnsi="Times New Roman" w:cs="Times New Roman"/>
          <w:color w:val="000000" w:themeColor="text1"/>
          <w:sz w:val="24"/>
          <w:szCs w:val="24"/>
        </w:rPr>
        <w:t xml:space="preserve">e Governo Aberto. Para </w:t>
      </w:r>
      <w:proofErr w:type="spellStart"/>
      <w:r w:rsidRPr="009545B7">
        <w:rPr>
          <w:rFonts w:ascii="Times New Roman" w:hAnsi="Times New Roman" w:cs="Times New Roman"/>
          <w:color w:val="000000" w:themeColor="text1"/>
          <w:sz w:val="24"/>
          <w:szCs w:val="24"/>
        </w:rPr>
        <w:t>Veljkovic</w:t>
      </w:r>
      <w:proofErr w:type="spellEnd"/>
      <w:r w:rsidRPr="009545B7">
        <w:rPr>
          <w:rFonts w:ascii="Times New Roman" w:hAnsi="Times New Roman" w:cs="Times New Roman"/>
          <w:color w:val="000000" w:themeColor="text1"/>
          <w:sz w:val="24"/>
          <w:szCs w:val="24"/>
        </w:rPr>
        <w:t>́</w:t>
      </w:r>
      <w:r w:rsidR="009545B7" w:rsidRPr="009545B7">
        <w:rPr>
          <w:rFonts w:ascii="Times New Roman" w:hAnsi="Times New Roman" w:cs="Times New Roman"/>
          <w:color w:val="000000" w:themeColor="text1"/>
          <w:sz w:val="24"/>
          <w:szCs w:val="24"/>
        </w:rPr>
        <w:t xml:space="preserve">, </w:t>
      </w:r>
      <w:proofErr w:type="spellStart"/>
      <w:r w:rsidR="0043149E" w:rsidRPr="009545B7">
        <w:rPr>
          <w:rFonts w:ascii="Times New Roman" w:hAnsi="Times New Roman" w:cs="Times New Roman"/>
          <w:color w:val="000000" w:themeColor="text1"/>
          <w:sz w:val="24"/>
          <w:szCs w:val="24"/>
        </w:rPr>
        <w:t>Bogdanovic</w:t>
      </w:r>
      <w:proofErr w:type="spellEnd"/>
      <w:r w:rsidR="0043149E" w:rsidRPr="009545B7">
        <w:rPr>
          <w:rFonts w:ascii="Times New Roman" w:hAnsi="Times New Roman" w:cs="Times New Roman"/>
          <w:color w:val="000000" w:themeColor="text1"/>
          <w:sz w:val="24"/>
          <w:szCs w:val="24"/>
        </w:rPr>
        <w:t xml:space="preserve"> e </w:t>
      </w:r>
      <w:proofErr w:type="spellStart"/>
      <w:r w:rsidR="0043149E" w:rsidRPr="009545B7">
        <w:rPr>
          <w:rFonts w:ascii="Times New Roman" w:hAnsi="Times New Roman" w:cs="Times New Roman"/>
          <w:color w:val="000000" w:themeColor="text1"/>
          <w:sz w:val="24"/>
          <w:szCs w:val="24"/>
        </w:rPr>
        <w:t>Stoimenov</w:t>
      </w:r>
      <w:proofErr w:type="spellEnd"/>
      <w:r w:rsidR="009545B7" w:rsidRPr="009545B7">
        <w:rPr>
          <w:rFonts w:ascii="Times New Roman" w:hAnsi="Times New Roman" w:cs="Times New Roman"/>
          <w:color w:val="000000" w:themeColor="text1"/>
          <w:sz w:val="18"/>
          <w:szCs w:val="18"/>
        </w:rPr>
        <w:t xml:space="preserve"> </w:t>
      </w:r>
      <w:r w:rsidRPr="009545B7">
        <w:rPr>
          <w:rFonts w:ascii="Times New Roman" w:hAnsi="Times New Roman" w:cs="Times New Roman"/>
          <w:color w:val="000000" w:themeColor="text1"/>
          <w:sz w:val="24"/>
          <w:szCs w:val="24"/>
        </w:rPr>
        <w:t xml:space="preserve">(2014), além de iniciativas governamentais individuais, tal prática evidencia esforços globais visando a abertura dos governos, tornando-os cada vez mais transparentes. </w:t>
      </w:r>
    </w:p>
    <w:p w14:paraId="29E78B05" w14:textId="1F3D2B81" w:rsidR="00517434" w:rsidRPr="009545B7" w:rsidRDefault="00842C1F" w:rsidP="0051145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Em 2011, o Brasil comprometeu-se a aumentar sua disponibilidade sobre as atividades governamentais, tornando-se signatário do </w:t>
      </w:r>
      <w:r w:rsidRPr="009545B7">
        <w:rPr>
          <w:rFonts w:ascii="Times New Roman" w:hAnsi="Times New Roman" w:cs="Times New Roman"/>
          <w:i/>
          <w:iCs/>
          <w:color w:val="000000" w:themeColor="text1"/>
          <w:sz w:val="24"/>
          <w:szCs w:val="24"/>
        </w:rPr>
        <w:t>Open</w:t>
      </w:r>
      <w:r w:rsidRPr="009545B7">
        <w:rPr>
          <w:rFonts w:ascii="Times New Roman" w:hAnsi="Times New Roman" w:cs="Times New Roman"/>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Government</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Partnership</w:t>
      </w:r>
      <w:proofErr w:type="spellEnd"/>
      <w:r w:rsidRPr="009545B7">
        <w:rPr>
          <w:rFonts w:ascii="Times New Roman" w:hAnsi="Times New Roman" w:cs="Times New Roman"/>
          <w:color w:val="000000" w:themeColor="text1"/>
          <w:sz w:val="24"/>
          <w:szCs w:val="24"/>
        </w:rPr>
        <w:t xml:space="preserve"> (OGP, 2011). Desde então, a legislação brasileira avançou nesse sentido, a partir do estabelecimento de regras para promoção de mais </w:t>
      </w:r>
      <w:r w:rsidR="00854E7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na Administração Pública. </w:t>
      </w:r>
    </w:p>
    <w:p w14:paraId="630C67F9" w14:textId="43EA800B" w:rsidR="00842C1F" w:rsidRPr="009545B7" w:rsidRDefault="00842C1F" w:rsidP="0051145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Nesse sentido, a OGP objetiva incentivar o comprometimento dos governos a promoverem 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ransparência, capacitar os cidadãos, combater a corrupção e implementar novas tecnologias para o fortalecimento da Governança Pública (FUNG, 2013).</w:t>
      </w:r>
    </w:p>
    <w:p w14:paraId="6DFDAC5F" w14:textId="6A57D65C" w:rsidR="00842C1F" w:rsidRPr="001C1C3C" w:rsidRDefault="00842C1F" w:rsidP="00F55E07">
      <w:pPr>
        <w:spacing w:after="0" w:line="240" w:lineRule="auto"/>
        <w:ind w:firstLine="708"/>
        <w:rPr>
          <w:rFonts w:ascii="Times New Roman" w:eastAsia="Calibri" w:hAnsi="Times New Roman" w:cs="Times New Roman"/>
          <w:color w:val="000000" w:themeColor="text1"/>
          <w:sz w:val="24"/>
          <w:szCs w:val="24"/>
        </w:rPr>
      </w:pPr>
      <w:r w:rsidRPr="009545B7">
        <w:rPr>
          <w:rFonts w:ascii="Times New Roman" w:hAnsi="Times New Roman" w:cs="Times New Roman"/>
          <w:color w:val="000000" w:themeColor="text1"/>
          <w:sz w:val="24"/>
          <w:szCs w:val="24"/>
        </w:rPr>
        <w:t>O conceito de Governo Aberto repousa sobre as definições de participação, colaboração e Transparência Pública</w:t>
      </w:r>
      <w:r w:rsidR="00533353">
        <w:rPr>
          <w:rFonts w:ascii="Times New Roman" w:hAnsi="Times New Roman" w:cs="Times New Roman"/>
          <w:color w:val="000000" w:themeColor="text1"/>
          <w:sz w:val="24"/>
          <w:szCs w:val="24"/>
        </w:rPr>
        <w:t>,</w:t>
      </w:r>
      <w:r w:rsidRPr="009545B7">
        <w:rPr>
          <w:rFonts w:ascii="Times New Roman" w:hAnsi="Times New Roman" w:cs="Times New Roman"/>
          <w:color w:val="000000" w:themeColor="text1"/>
          <w:sz w:val="24"/>
          <w:szCs w:val="24"/>
        </w:rPr>
        <w:t xml:space="preserve"> esta última, devendo contribuir com três objetivos precípuos: o fortalecimento do papel dos cidadãos e da sociedade civil, o gasto eficiente do dinheiro público </w:t>
      </w:r>
      <w:r w:rsidRPr="009545B7">
        <w:rPr>
          <w:rFonts w:ascii="Times New Roman" w:hAnsi="Times New Roman" w:cs="Times New Roman"/>
          <w:color w:val="000000" w:themeColor="text1"/>
          <w:sz w:val="24"/>
          <w:szCs w:val="24"/>
        </w:rPr>
        <w:lastRenderedPageBreak/>
        <w:t xml:space="preserve">e a entrega mais nítida de resultados através da geração de valor </w:t>
      </w:r>
      <w:r w:rsidR="009545B7" w:rsidRPr="009545B7">
        <w:rPr>
          <w:rFonts w:ascii="Times New Roman" w:hAnsi="Times New Roman" w:cs="Times New Roman"/>
          <w:color w:val="000000" w:themeColor="text1"/>
          <w:sz w:val="24"/>
          <w:szCs w:val="24"/>
        </w:rPr>
        <w:t>(</w:t>
      </w:r>
      <w:r w:rsidR="009545B7" w:rsidRPr="009545B7">
        <w:rPr>
          <w:rFonts w:ascii="Times New Roman" w:eastAsia="Times New Roman" w:hAnsi="Times New Roman" w:cs="Times New Roman"/>
          <w:color w:val="000000" w:themeColor="text1"/>
        </w:rPr>
        <w:t>VELJKOVIC; BOGDANOVIC; STOIMENOV, 2014).</w:t>
      </w:r>
    </w:p>
    <w:p w14:paraId="77674C77" w14:textId="45723891" w:rsidR="00000EC1" w:rsidRPr="009545B7" w:rsidRDefault="00842C1F" w:rsidP="00511457">
      <w:pPr>
        <w:pStyle w:val="NormalWeb"/>
        <w:spacing w:before="0" w:beforeAutospacing="0" w:after="0" w:afterAutospacing="0"/>
        <w:ind w:firstLine="709"/>
        <w:jc w:val="both"/>
        <w:rPr>
          <w:color w:val="000000" w:themeColor="text1"/>
        </w:rPr>
      </w:pPr>
      <w:r w:rsidRPr="009545B7">
        <w:rPr>
          <w:color w:val="000000" w:themeColor="text1"/>
        </w:rPr>
        <w:t xml:space="preserve">Klaus (2016) afirma que a iniciativa do Governo Aberto surgiu em parte da consciência de que a informação pertence </w:t>
      </w:r>
      <w:r w:rsidR="006F48D2" w:rsidRPr="009545B7">
        <w:rPr>
          <w:color w:val="000000" w:themeColor="text1"/>
        </w:rPr>
        <w:t>ao cidadão</w:t>
      </w:r>
      <w:r w:rsidRPr="009545B7">
        <w:rPr>
          <w:color w:val="000000" w:themeColor="text1"/>
        </w:rPr>
        <w:t xml:space="preserve"> e não pode ser totalmente gerenciada por entes políticos. Dessa forma,</w:t>
      </w:r>
      <w:r w:rsidR="00F55E07">
        <w:rPr>
          <w:color w:val="000000" w:themeColor="text1"/>
        </w:rPr>
        <w:t xml:space="preserve"> </w:t>
      </w:r>
      <w:proofErr w:type="spellStart"/>
      <w:r w:rsidR="009545B7" w:rsidRPr="009545B7">
        <w:rPr>
          <w:color w:val="000000" w:themeColor="text1"/>
        </w:rPr>
        <w:t>Veljkovic</w:t>
      </w:r>
      <w:proofErr w:type="spellEnd"/>
      <w:r w:rsidR="009545B7" w:rsidRPr="009545B7">
        <w:rPr>
          <w:color w:val="000000" w:themeColor="text1"/>
        </w:rPr>
        <w:t xml:space="preserve">́, </w:t>
      </w:r>
      <w:proofErr w:type="spellStart"/>
      <w:r w:rsidR="009545B7" w:rsidRPr="009545B7">
        <w:rPr>
          <w:color w:val="000000" w:themeColor="text1"/>
        </w:rPr>
        <w:t>Bogdanovic</w:t>
      </w:r>
      <w:proofErr w:type="spellEnd"/>
      <w:r w:rsidR="009545B7" w:rsidRPr="009545B7">
        <w:rPr>
          <w:color w:val="000000" w:themeColor="text1"/>
        </w:rPr>
        <w:t xml:space="preserve"> e </w:t>
      </w:r>
      <w:proofErr w:type="spellStart"/>
      <w:r w:rsidR="009545B7" w:rsidRPr="009545B7">
        <w:rPr>
          <w:color w:val="000000" w:themeColor="text1"/>
        </w:rPr>
        <w:t>Stoimenov</w:t>
      </w:r>
      <w:proofErr w:type="spellEnd"/>
      <w:r w:rsidR="009545B7" w:rsidRPr="009545B7">
        <w:rPr>
          <w:color w:val="000000" w:themeColor="text1"/>
          <w:sz w:val="18"/>
          <w:szCs w:val="18"/>
        </w:rPr>
        <w:t xml:space="preserve"> </w:t>
      </w:r>
      <w:r w:rsidRPr="009545B7">
        <w:rPr>
          <w:color w:val="000000" w:themeColor="text1"/>
        </w:rPr>
        <w:t>(2014) entendem que o propósito fundamental do Governo Aberto</w:t>
      </w:r>
      <w:r w:rsidR="00F55E07">
        <w:rPr>
          <w:color w:val="000000" w:themeColor="text1"/>
        </w:rPr>
        <w:t xml:space="preserve"> </w:t>
      </w:r>
      <w:r w:rsidRPr="009545B7">
        <w:rPr>
          <w:color w:val="000000" w:themeColor="text1"/>
        </w:rPr>
        <w:t xml:space="preserve">se pauta na evolução contínua da Administração Pública, permitindo constante troca de informações com os cidadãos, visando o atendimento de seus anseios de forma transparente e unindo os atores envolvidos em busca do bem comum. </w:t>
      </w:r>
      <w:bookmarkStart w:id="4" w:name="_Toc118763484"/>
    </w:p>
    <w:p w14:paraId="272B3454" w14:textId="77777777" w:rsidR="006F2E8C" w:rsidRPr="009545B7" w:rsidRDefault="006F2E8C" w:rsidP="00511457">
      <w:pPr>
        <w:pStyle w:val="Estilo2"/>
        <w:spacing w:before="0" w:after="0" w:line="240" w:lineRule="auto"/>
        <w:rPr>
          <w:rFonts w:ascii="Times New Roman" w:hAnsi="Times New Roman" w:cs="Times New Roman"/>
          <w:color w:val="000000" w:themeColor="text1"/>
        </w:rPr>
      </w:pPr>
    </w:p>
    <w:p w14:paraId="7B1C7B5D" w14:textId="6CC018D7" w:rsidR="00F57610" w:rsidRDefault="00842C1F" w:rsidP="00511457">
      <w:pPr>
        <w:pStyle w:val="Estilo2"/>
        <w:spacing w:before="0" w:after="0" w:line="240" w:lineRule="auto"/>
        <w:rPr>
          <w:rFonts w:ascii="Times New Roman" w:hAnsi="Times New Roman" w:cs="Times New Roman"/>
          <w:color w:val="000000" w:themeColor="text1"/>
        </w:rPr>
      </w:pPr>
      <w:r w:rsidRPr="009545B7">
        <w:rPr>
          <w:rFonts w:ascii="Times New Roman" w:hAnsi="Times New Roman" w:cs="Times New Roman"/>
          <w:color w:val="000000" w:themeColor="text1"/>
        </w:rPr>
        <w:t>2.3 TRANSPARÊNCIA PÚBLICA</w:t>
      </w:r>
      <w:bookmarkEnd w:id="4"/>
    </w:p>
    <w:p w14:paraId="2085E97E" w14:textId="77777777" w:rsidR="00AF6410" w:rsidRPr="009545B7" w:rsidRDefault="00AF6410" w:rsidP="00511457">
      <w:pPr>
        <w:pStyle w:val="Estilo2"/>
        <w:spacing w:before="0" w:after="0" w:line="240" w:lineRule="auto"/>
        <w:rPr>
          <w:rFonts w:ascii="Times New Roman" w:hAnsi="Times New Roman" w:cs="Times New Roman"/>
          <w:color w:val="000000" w:themeColor="text1"/>
        </w:rPr>
      </w:pPr>
    </w:p>
    <w:p w14:paraId="22FFB71D" w14:textId="453DEE72" w:rsidR="00517434" w:rsidRPr="009545B7" w:rsidRDefault="00842C1F" w:rsidP="00511457">
      <w:pPr>
        <w:pStyle w:val="Estilo2"/>
        <w:spacing w:before="0" w:after="0" w:line="240" w:lineRule="auto"/>
        <w:ind w:firstLine="708"/>
        <w:rPr>
          <w:rFonts w:ascii="Times New Roman" w:hAnsi="Times New Roman" w:cs="Times New Roman"/>
          <w:color w:val="000000" w:themeColor="text1"/>
        </w:rPr>
      </w:pPr>
      <w:r w:rsidRPr="009545B7">
        <w:rPr>
          <w:rFonts w:ascii="Times New Roman" w:hAnsi="Times New Roman" w:cs="Times New Roman"/>
          <w:color w:val="000000" w:themeColor="text1"/>
        </w:rPr>
        <w:t xml:space="preserve">Segundo </w:t>
      </w:r>
      <w:proofErr w:type="spellStart"/>
      <w:r w:rsidRPr="009545B7">
        <w:rPr>
          <w:rFonts w:ascii="Times New Roman" w:hAnsi="Times New Roman" w:cs="Times New Roman"/>
          <w:color w:val="000000" w:themeColor="text1"/>
        </w:rPr>
        <w:t>Ringel</w:t>
      </w:r>
      <w:proofErr w:type="spellEnd"/>
      <w:r w:rsidRPr="009545B7">
        <w:rPr>
          <w:rFonts w:ascii="Times New Roman" w:hAnsi="Times New Roman" w:cs="Times New Roman"/>
          <w:color w:val="000000" w:themeColor="text1"/>
        </w:rPr>
        <w:t xml:space="preserve"> (201</w:t>
      </w:r>
      <w:r w:rsidR="005F278B" w:rsidRPr="009545B7">
        <w:rPr>
          <w:rFonts w:ascii="Times New Roman" w:hAnsi="Times New Roman" w:cs="Times New Roman"/>
          <w:color w:val="000000" w:themeColor="text1"/>
        </w:rPr>
        <w:t>9</w:t>
      </w:r>
      <w:r w:rsidRPr="009545B7">
        <w:rPr>
          <w:rFonts w:ascii="Times New Roman" w:hAnsi="Times New Roman" w:cs="Times New Roman"/>
          <w:color w:val="000000" w:themeColor="text1"/>
        </w:rPr>
        <w:t xml:space="preserve">), o conceito de </w:t>
      </w:r>
      <w:r w:rsidR="00164C5A" w:rsidRPr="009545B7">
        <w:rPr>
          <w:rFonts w:ascii="Times New Roman" w:hAnsi="Times New Roman" w:cs="Times New Roman"/>
          <w:color w:val="000000" w:themeColor="text1"/>
        </w:rPr>
        <w:t>T</w:t>
      </w:r>
      <w:r w:rsidRPr="009545B7">
        <w:rPr>
          <w:rFonts w:ascii="Times New Roman" w:hAnsi="Times New Roman" w:cs="Times New Roman"/>
          <w:color w:val="000000" w:themeColor="text1"/>
        </w:rPr>
        <w:t>ransparência vem atraindo grande interesse de acadêmicos nos últimos vinte anos</w:t>
      </w:r>
      <w:r w:rsidR="009C001C" w:rsidRPr="009545B7">
        <w:rPr>
          <w:rFonts w:ascii="Times New Roman" w:hAnsi="Times New Roman" w:cs="Times New Roman"/>
          <w:color w:val="000000" w:themeColor="text1"/>
        </w:rPr>
        <w:t>. Ainda segundo o autor, a</w:t>
      </w:r>
      <w:r w:rsidRPr="009545B7">
        <w:rPr>
          <w:rFonts w:ascii="Times New Roman" w:hAnsi="Times New Roman" w:cs="Times New Roman"/>
          <w:color w:val="000000" w:themeColor="text1"/>
        </w:rPr>
        <w:t xml:space="preserve"> </w:t>
      </w:r>
      <w:r w:rsidR="00164C5A" w:rsidRPr="009545B7">
        <w:rPr>
          <w:rFonts w:ascii="Times New Roman" w:hAnsi="Times New Roman" w:cs="Times New Roman"/>
          <w:color w:val="000000" w:themeColor="text1"/>
        </w:rPr>
        <w:t>T</w:t>
      </w:r>
      <w:r w:rsidRPr="009545B7">
        <w:rPr>
          <w:rFonts w:ascii="Times New Roman" w:hAnsi="Times New Roman" w:cs="Times New Roman"/>
          <w:color w:val="000000" w:themeColor="text1"/>
        </w:rPr>
        <w:t>ransparência, de modo geral, traduz a permissão de informações abertas sobre atividades de governo e suas respectivas decisões, além de informações gerais e livremente acessíveis ao público</w:t>
      </w:r>
      <w:r w:rsidR="00F61799" w:rsidRPr="009545B7">
        <w:rPr>
          <w:rFonts w:ascii="Times New Roman" w:hAnsi="Times New Roman" w:cs="Times New Roman"/>
          <w:color w:val="000000" w:themeColor="text1"/>
        </w:rPr>
        <w:t>.</w:t>
      </w:r>
    </w:p>
    <w:p w14:paraId="195C3E30" w14:textId="788BAADF" w:rsidR="00517434" w:rsidRPr="009545B7" w:rsidRDefault="00F55E07" w:rsidP="0051145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Ademais,</w:t>
      </w:r>
      <w:r w:rsidR="00517434" w:rsidRPr="009545B7">
        <w:rPr>
          <w:rFonts w:ascii="Times New Roman" w:eastAsia="Times New Roman" w:hAnsi="Times New Roman" w:cs="Times New Roman"/>
          <w:color w:val="000000" w:themeColor="text1"/>
          <w:sz w:val="24"/>
          <w:szCs w:val="24"/>
          <w:lang w:eastAsia="pt-BR"/>
        </w:rPr>
        <w:t xml:space="preserve"> </w:t>
      </w:r>
      <w:proofErr w:type="spellStart"/>
      <w:r w:rsidR="00517434" w:rsidRPr="009545B7">
        <w:rPr>
          <w:rFonts w:ascii="Times New Roman" w:eastAsia="Times New Roman" w:hAnsi="Times New Roman" w:cs="Times New Roman"/>
          <w:color w:val="000000" w:themeColor="text1"/>
          <w:sz w:val="24"/>
          <w:szCs w:val="24"/>
          <w:lang w:eastAsia="pt-BR"/>
        </w:rPr>
        <w:t>Bliacheri</w:t>
      </w:r>
      <w:r w:rsidR="00D64529" w:rsidRPr="009545B7">
        <w:rPr>
          <w:rFonts w:ascii="Times New Roman" w:eastAsia="Times New Roman" w:hAnsi="Times New Roman" w:cs="Times New Roman"/>
          <w:color w:val="000000" w:themeColor="text1"/>
          <w:sz w:val="24"/>
          <w:szCs w:val="24"/>
          <w:lang w:eastAsia="pt-BR"/>
        </w:rPr>
        <w:t>e</w:t>
      </w:r>
      <w:r w:rsidR="00517434" w:rsidRPr="009545B7">
        <w:rPr>
          <w:rFonts w:ascii="Times New Roman" w:eastAsia="Times New Roman" w:hAnsi="Times New Roman" w:cs="Times New Roman"/>
          <w:color w:val="000000" w:themeColor="text1"/>
          <w:sz w:val="24"/>
          <w:szCs w:val="24"/>
          <w:lang w:eastAsia="pt-BR"/>
        </w:rPr>
        <w:t>ne</w:t>
      </w:r>
      <w:proofErr w:type="spellEnd"/>
      <w:r w:rsidR="00517434" w:rsidRPr="009545B7">
        <w:rPr>
          <w:rFonts w:ascii="Times New Roman" w:eastAsia="Times New Roman" w:hAnsi="Times New Roman" w:cs="Times New Roman"/>
          <w:color w:val="000000" w:themeColor="text1"/>
          <w:sz w:val="24"/>
          <w:szCs w:val="24"/>
          <w:lang w:eastAsia="pt-BR"/>
        </w:rPr>
        <w:t xml:space="preserve">, </w:t>
      </w:r>
      <w:proofErr w:type="spellStart"/>
      <w:r w:rsidR="00517434" w:rsidRPr="009545B7">
        <w:rPr>
          <w:rFonts w:ascii="Times New Roman" w:eastAsia="Times New Roman" w:hAnsi="Times New Roman" w:cs="Times New Roman"/>
          <w:color w:val="000000" w:themeColor="text1"/>
          <w:sz w:val="24"/>
          <w:szCs w:val="24"/>
          <w:lang w:eastAsia="pt-BR"/>
        </w:rPr>
        <w:t>Funari</w:t>
      </w:r>
      <w:proofErr w:type="spellEnd"/>
      <w:r w:rsidR="00517434" w:rsidRPr="009545B7">
        <w:rPr>
          <w:rFonts w:ascii="Times New Roman" w:eastAsia="Times New Roman" w:hAnsi="Times New Roman" w:cs="Times New Roman"/>
          <w:color w:val="000000" w:themeColor="text1"/>
          <w:sz w:val="24"/>
          <w:szCs w:val="24"/>
          <w:lang w:eastAsia="pt-BR"/>
        </w:rPr>
        <w:t xml:space="preserve"> e Ribeiro (2013) </w:t>
      </w:r>
      <w:r>
        <w:rPr>
          <w:rFonts w:ascii="Times New Roman" w:eastAsia="Times New Roman" w:hAnsi="Times New Roman" w:cs="Times New Roman"/>
          <w:color w:val="000000" w:themeColor="text1"/>
          <w:sz w:val="24"/>
          <w:szCs w:val="24"/>
          <w:lang w:eastAsia="pt-BR"/>
        </w:rPr>
        <w:t xml:space="preserve">acrescentam que </w:t>
      </w:r>
      <w:r w:rsidR="009C001C" w:rsidRPr="009545B7">
        <w:rPr>
          <w:rFonts w:ascii="Times New Roman" w:eastAsia="Times New Roman" w:hAnsi="Times New Roman" w:cs="Times New Roman"/>
          <w:color w:val="000000" w:themeColor="text1"/>
          <w:sz w:val="24"/>
          <w:szCs w:val="24"/>
          <w:lang w:eastAsia="pt-BR"/>
        </w:rPr>
        <w:t>s</w:t>
      </w:r>
      <w:r w:rsidR="00517434" w:rsidRPr="009545B7">
        <w:rPr>
          <w:rFonts w:ascii="Times New Roman" w:eastAsia="Times New Roman" w:hAnsi="Times New Roman" w:cs="Times New Roman"/>
          <w:color w:val="000000" w:themeColor="text1"/>
          <w:sz w:val="24"/>
          <w:szCs w:val="24"/>
          <w:lang w:eastAsia="pt-BR"/>
        </w:rPr>
        <w:t xml:space="preserve">ó há </w:t>
      </w:r>
      <w:r w:rsidR="00164C5A" w:rsidRPr="009545B7">
        <w:rPr>
          <w:rFonts w:ascii="Times New Roman" w:eastAsia="Times New Roman" w:hAnsi="Times New Roman" w:cs="Times New Roman"/>
          <w:color w:val="000000" w:themeColor="text1"/>
          <w:sz w:val="24"/>
          <w:szCs w:val="24"/>
          <w:lang w:eastAsia="pt-BR"/>
        </w:rPr>
        <w:t>T</w:t>
      </w:r>
      <w:r w:rsidR="00517434" w:rsidRPr="009545B7">
        <w:rPr>
          <w:rFonts w:ascii="Times New Roman" w:eastAsia="Times New Roman" w:hAnsi="Times New Roman" w:cs="Times New Roman"/>
          <w:color w:val="000000" w:themeColor="text1"/>
          <w:sz w:val="24"/>
          <w:szCs w:val="24"/>
          <w:lang w:eastAsia="pt-BR"/>
        </w:rPr>
        <w:t xml:space="preserve">ransparência quando existe acesso livre e facilitado ao dado ou à informação e inteligibilidade de dados. Ainda de acordo com os autores, governos precisam mobilizar cidadãos a se engajarem no debate público fazendo contribuições que levarão a uma </w:t>
      </w:r>
      <w:r w:rsidR="00854E7A" w:rsidRPr="009545B7">
        <w:rPr>
          <w:rFonts w:ascii="Times New Roman" w:eastAsia="Times New Roman" w:hAnsi="Times New Roman" w:cs="Times New Roman"/>
          <w:color w:val="000000" w:themeColor="text1"/>
          <w:sz w:val="24"/>
          <w:szCs w:val="24"/>
          <w:lang w:eastAsia="pt-BR"/>
        </w:rPr>
        <w:t>G</w:t>
      </w:r>
      <w:r w:rsidR="00517434" w:rsidRPr="009545B7">
        <w:rPr>
          <w:rFonts w:ascii="Times New Roman" w:eastAsia="Times New Roman" w:hAnsi="Times New Roman" w:cs="Times New Roman"/>
          <w:color w:val="000000" w:themeColor="text1"/>
          <w:sz w:val="24"/>
          <w:szCs w:val="24"/>
          <w:lang w:eastAsia="pt-BR"/>
        </w:rPr>
        <w:t xml:space="preserve">overnança mais responsiva, inovadora e efetiva. </w:t>
      </w:r>
    </w:p>
    <w:p w14:paraId="112C75C5" w14:textId="7EA2D5FC" w:rsidR="0089500F" w:rsidRPr="009545B7" w:rsidRDefault="00842C1F" w:rsidP="008D318B">
      <w:pPr>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Analisando os marcos temporais do tema no Brasil, percebe-se que o debate acerca da Transparência Pública teve como marco regulatório importante</w:t>
      </w:r>
      <w:r w:rsidR="00F55E0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a</w:t>
      </w:r>
      <w:r w:rsidR="00F55E0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promulgação da Lei da Responsabilidade Fiscal. Tal lei determina a obrigatoriedade dos entes públicos a dar publicidade às informações financeiras e fiscais por intermédio de meios eletrônicos. Já em 2011, foi promulgada a LAI, responsável por prover à sociedade o exercício de seu direito de acesso à informação. </w:t>
      </w:r>
    </w:p>
    <w:p w14:paraId="54F2C944" w14:textId="2DAC8A6A" w:rsidR="00517434" w:rsidRPr="009545B7" w:rsidRDefault="00842C1F" w:rsidP="0089500F">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Nesse contexto, o Decreto nº 7.724/2012</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responsável por regulamentar a “Lei de Acesso à Informação”</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institui as classificações de Transparência Publica em ativa e passiva. Furtado (2020) entende por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ativa, o consumo de informações que já se encontram disponíveis e publicadas, e por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passiva, quando um órgão responde a um pedido de informação de um agente externo. </w:t>
      </w:r>
    </w:p>
    <w:p w14:paraId="12260EC3" w14:textId="0BF8E98B" w:rsidR="00842C1F" w:rsidRPr="009545B7" w:rsidRDefault="00842C1F" w:rsidP="0089500F">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Mais tarde, com a assinatura do Decreto nº 9.203/2017, 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foi definida como princípio da Governança Pública, e estabeleceu como uma </w:t>
      </w:r>
      <w:r w:rsidR="00F55E07">
        <w:rPr>
          <w:rFonts w:ascii="Times New Roman" w:hAnsi="Times New Roman" w:cs="Times New Roman"/>
          <w:color w:val="000000" w:themeColor="text1"/>
          <w:sz w:val="24"/>
          <w:szCs w:val="24"/>
        </w:rPr>
        <w:t>de suas diretrizes</w:t>
      </w:r>
      <w:r w:rsidRPr="009545B7">
        <w:rPr>
          <w:rFonts w:ascii="Times New Roman" w:hAnsi="Times New Roman" w:cs="Times New Roman"/>
          <w:color w:val="000000" w:themeColor="text1"/>
          <w:sz w:val="24"/>
          <w:szCs w:val="24"/>
        </w:rPr>
        <w:t xml:space="preserve"> a promoção da comunicação aberta</w:t>
      </w:r>
      <w:r w:rsidR="003022B8"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e transparente das atividades e dos resultados da organização, </w:t>
      </w:r>
      <w:r w:rsidR="003022B8" w:rsidRPr="009545B7">
        <w:rPr>
          <w:rFonts w:ascii="Times New Roman" w:hAnsi="Times New Roman" w:cs="Times New Roman"/>
          <w:color w:val="000000" w:themeColor="text1"/>
          <w:sz w:val="24"/>
          <w:szCs w:val="24"/>
        </w:rPr>
        <w:t>fortalecendo</w:t>
      </w:r>
      <w:r w:rsidRPr="009545B7">
        <w:rPr>
          <w:rFonts w:ascii="Times New Roman" w:hAnsi="Times New Roman" w:cs="Times New Roman"/>
          <w:color w:val="000000" w:themeColor="text1"/>
          <w:sz w:val="24"/>
          <w:szCs w:val="24"/>
        </w:rPr>
        <w:t xml:space="preserve"> o acesso público à informação (BRASIL, 2017).</w:t>
      </w:r>
    </w:p>
    <w:p w14:paraId="75BAE135" w14:textId="4F46DE45" w:rsidR="00517434" w:rsidRPr="009545B7" w:rsidRDefault="00517434" w:rsidP="0089500F">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Assim, por intermédio da Transparência da Administração Pública, a sociedade torna-se capaz de acompanhar os atos públicos e corroborar os acertos ou repudiar os erros (FURTADO, 2020). A implantação da LAI faz parte de um processo fundamental para a consolidação do Estado democrático no Brasil, uma vez que busca dar maior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ransparência às decisões e atos públicos e ampliar a capacidade de controle social sobre o Estado (SILVA, 202</w:t>
      </w:r>
      <w:r w:rsidR="0043149E" w:rsidRPr="009545B7">
        <w:rPr>
          <w:rFonts w:ascii="Times New Roman" w:hAnsi="Times New Roman" w:cs="Times New Roman"/>
          <w:color w:val="000000" w:themeColor="text1"/>
          <w:sz w:val="24"/>
          <w:szCs w:val="24"/>
        </w:rPr>
        <w:t>1</w:t>
      </w:r>
      <w:r w:rsidRPr="009545B7">
        <w:rPr>
          <w:rFonts w:ascii="Times New Roman" w:hAnsi="Times New Roman" w:cs="Times New Roman"/>
          <w:color w:val="000000" w:themeColor="text1"/>
          <w:sz w:val="24"/>
          <w:szCs w:val="24"/>
        </w:rPr>
        <w:t>).</w:t>
      </w:r>
    </w:p>
    <w:p w14:paraId="7996098D" w14:textId="6CC9EE21" w:rsidR="00517434"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Nesse sentido, Furtado (2013) entende que tais medidas são as principais responsáveis pela promoção de maior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instrumento de controle por intermédio do qual a sociedade </w:t>
      </w:r>
      <w:r w:rsidR="003022B8" w:rsidRPr="009545B7">
        <w:rPr>
          <w:rFonts w:ascii="Times New Roman" w:hAnsi="Times New Roman" w:cs="Times New Roman"/>
          <w:color w:val="000000" w:themeColor="text1"/>
          <w:sz w:val="24"/>
          <w:szCs w:val="24"/>
        </w:rPr>
        <w:t>acessa os</w:t>
      </w:r>
      <w:r w:rsidRPr="009545B7">
        <w:rPr>
          <w:rFonts w:ascii="Times New Roman" w:hAnsi="Times New Roman" w:cs="Times New Roman"/>
          <w:color w:val="000000" w:themeColor="text1"/>
          <w:sz w:val="24"/>
          <w:szCs w:val="24"/>
        </w:rPr>
        <w:t xml:space="preserve"> resultados das ações de seus representantes. </w:t>
      </w:r>
    </w:p>
    <w:p w14:paraId="5911132C" w14:textId="47447C73" w:rsidR="00842C1F" w:rsidRPr="009545B7" w:rsidRDefault="00517434"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Assim, </w:t>
      </w:r>
      <w:r w:rsidR="00842C1F" w:rsidRPr="009545B7">
        <w:rPr>
          <w:rFonts w:ascii="Times New Roman" w:hAnsi="Times New Roman" w:cs="Times New Roman"/>
          <w:color w:val="000000" w:themeColor="text1"/>
          <w:sz w:val="24"/>
          <w:szCs w:val="24"/>
        </w:rPr>
        <w:t xml:space="preserve">aumentando-se o envolvimento </w:t>
      </w:r>
      <w:r w:rsidR="003022B8" w:rsidRPr="009545B7">
        <w:rPr>
          <w:rFonts w:ascii="Times New Roman" w:hAnsi="Times New Roman" w:cs="Times New Roman"/>
          <w:color w:val="000000" w:themeColor="text1"/>
          <w:sz w:val="24"/>
          <w:szCs w:val="24"/>
        </w:rPr>
        <w:t>do cidadão</w:t>
      </w:r>
      <w:r w:rsidR="00842C1F" w:rsidRPr="009545B7">
        <w:rPr>
          <w:rFonts w:ascii="Times New Roman" w:hAnsi="Times New Roman" w:cs="Times New Roman"/>
          <w:color w:val="000000" w:themeColor="text1"/>
          <w:sz w:val="24"/>
          <w:szCs w:val="24"/>
        </w:rPr>
        <w:t xml:space="preserve"> </w:t>
      </w:r>
      <w:r w:rsidR="003022B8" w:rsidRPr="009545B7">
        <w:rPr>
          <w:rFonts w:ascii="Times New Roman" w:hAnsi="Times New Roman" w:cs="Times New Roman"/>
          <w:color w:val="000000" w:themeColor="text1"/>
          <w:sz w:val="24"/>
          <w:szCs w:val="24"/>
        </w:rPr>
        <w:t>na</w:t>
      </w:r>
      <w:r w:rsidR="00842C1F" w:rsidRPr="009545B7">
        <w:rPr>
          <w:rFonts w:ascii="Times New Roman" w:hAnsi="Times New Roman" w:cs="Times New Roman"/>
          <w:color w:val="000000" w:themeColor="text1"/>
          <w:sz w:val="24"/>
          <w:szCs w:val="24"/>
        </w:rPr>
        <w:t xml:space="preserve"> </w:t>
      </w:r>
      <w:r w:rsidR="00BC4E23" w:rsidRPr="009545B7">
        <w:rPr>
          <w:rFonts w:ascii="Times New Roman" w:hAnsi="Times New Roman" w:cs="Times New Roman"/>
          <w:color w:val="000000" w:themeColor="text1"/>
          <w:sz w:val="24"/>
          <w:szCs w:val="24"/>
        </w:rPr>
        <w:t>G</w:t>
      </w:r>
      <w:r w:rsidR="00842C1F" w:rsidRPr="009545B7">
        <w:rPr>
          <w:rFonts w:ascii="Times New Roman" w:hAnsi="Times New Roman" w:cs="Times New Roman"/>
          <w:color w:val="000000" w:themeColor="text1"/>
          <w:sz w:val="24"/>
          <w:szCs w:val="24"/>
        </w:rPr>
        <w:t xml:space="preserve">overnança </w:t>
      </w:r>
      <w:r w:rsidR="00BC4E23" w:rsidRPr="009545B7">
        <w:rPr>
          <w:rFonts w:ascii="Times New Roman" w:hAnsi="Times New Roman" w:cs="Times New Roman"/>
          <w:color w:val="000000" w:themeColor="text1"/>
          <w:sz w:val="24"/>
          <w:szCs w:val="24"/>
        </w:rPr>
        <w:t>P</w:t>
      </w:r>
      <w:r w:rsidR="00842C1F" w:rsidRPr="009545B7">
        <w:rPr>
          <w:rFonts w:ascii="Times New Roman" w:hAnsi="Times New Roman" w:cs="Times New Roman"/>
          <w:color w:val="000000" w:themeColor="text1"/>
          <w:sz w:val="24"/>
          <w:szCs w:val="24"/>
        </w:rPr>
        <w:t>ública, proporcional será o incremento de uma administração focada na efetividade, eficiência e eficácia da gestão dos recursos públicos (KUCIK E PELC, 20</w:t>
      </w:r>
      <w:r w:rsidR="0043149E" w:rsidRPr="009545B7">
        <w:rPr>
          <w:rFonts w:ascii="Times New Roman" w:hAnsi="Times New Roman" w:cs="Times New Roman"/>
          <w:color w:val="000000" w:themeColor="text1"/>
          <w:sz w:val="24"/>
          <w:szCs w:val="24"/>
        </w:rPr>
        <w:t>16</w:t>
      </w:r>
      <w:r w:rsidR="00842C1F" w:rsidRPr="009545B7">
        <w:rPr>
          <w:rFonts w:ascii="Times New Roman" w:hAnsi="Times New Roman" w:cs="Times New Roman"/>
          <w:color w:val="000000" w:themeColor="text1"/>
          <w:sz w:val="24"/>
          <w:szCs w:val="24"/>
        </w:rPr>
        <w:t xml:space="preserve">). </w:t>
      </w:r>
    </w:p>
    <w:p w14:paraId="780F0F4F" w14:textId="3A88B907" w:rsidR="00F57610" w:rsidRDefault="00842C1F" w:rsidP="00F55E0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Por fim, segundo Furtado (2020), somente com o devido acesso à informação, os cidadãos serão capazes de optar, adequadamente, na escolha de seus representantes. </w:t>
      </w:r>
      <w:bookmarkStart w:id="5" w:name="_Toc118763485"/>
    </w:p>
    <w:p w14:paraId="2A2F1D42" w14:textId="77777777" w:rsidR="00F55E07" w:rsidRPr="00F55E07" w:rsidRDefault="00F55E07" w:rsidP="00F55E07">
      <w:pPr>
        <w:autoSpaceDE w:val="0"/>
        <w:autoSpaceDN w:val="0"/>
        <w:adjustRightInd w:val="0"/>
        <w:spacing w:after="0" w:line="240" w:lineRule="auto"/>
        <w:rPr>
          <w:rFonts w:ascii="Times New Roman" w:hAnsi="Times New Roman" w:cs="Times New Roman"/>
          <w:color w:val="000000" w:themeColor="text1"/>
          <w:sz w:val="24"/>
          <w:szCs w:val="24"/>
        </w:rPr>
      </w:pPr>
    </w:p>
    <w:p w14:paraId="19C319C3" w14:textId="63680E4E" w:rsidR="00AF6410" w:rsidRDefault="00842C1F" w:rsidP="00F55E07">
      <w:pPr>
        <w:pStyle w:val="Estilo1"/>
        <w:spacing w:before="0"/>
        <w:rPr>
          <w:rFonts w:ascii="Times New Roman" w:hAnsi="Times New Roman" w:cs="Times New Roman"/>
          <w:color w:val="000000" w:themeColor="text1"/>
        </w:rPr>
      </w:pPr>
      <w:r w:rsidRPr="009545B7">
        <w:rPr>
          <w:rFonts w:ascii="Times New Roman" w:hAnsi="Times New Roman" w:cs="Times New Roman"/>
          <w:color w:val="000000" w:themeColor="text1"/>
        </w:rPr>
        <w:lastRenderedPageBreak/>
        <w:t>3 METODOLOGIA</w:t>
      </w:r>
      <w:bookmarkEnd w:id="5"/>
    </w:p>
    <w:p w14:paraId="29F9AF89" w14:textId="77777777" w:rsidR="003D33A6" w:rsidRPr="009545B7" w:rsidRDefault="003D33A6" w:rsidP="00F55E07">
      <w:pPr>
        <w:pStyle w:val="Estilo1"/>
        <w:spacing w:before="0"/>
        <w:rPr>
          <w:rFonts w:ascii="Times New Roman" w:hAnsi="Times New Roman" w:cs="Times New Roman"/>
          <w:color w:val="000000" w:themeColor="text1"/>
        </w:rPr>
      </w:pPr>
    </w:p>
    <w:p w14:paraId="244E550F" w14:textId="26E2714B" w:rsidR="00842C1F" w:rsidRPr="009545B7" w:rsidRDefault="00842C1F" w:rsidP="00F55E0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A abordagem da pesquisa foi classificada como de natureza qualitativa, uma vez que se buscou entender determinada situação social ou fato por meio de explicações para o acontecimento de um determinado fenômeno (CRESWELL, 20</w:t>
      </w:r>
      <w:r w:rsidR="0043149E" w:rsidRPr="009545B7">
        <w:rPr>
          <w:rFonts w:ascii="Times New Roman" w:hAnsi="Times New Roman" w:cs="Times New Roman"/>
          <w:color w:val="000000" w:themeColor="text1"/>
          <w:sz w:val="24"/>
          <w:szCs w:val="24"/>
        </w:rPr>
        <w:t>07</w:t>
      </w:r>
      <w:r w:rsidRPr="009545B7">
        <w:rPr>
          <w:rFonts w:ascii="Times New Roman" w:hAnsi="Times New Roman" w:cs="Times New Roman"/>
          <w:color w:val="000000" w:themeColor="text1"/>
          <w:sz w:val="24"/>
          <w:szCs w:val="24"/>
        </w:rPr>
        <w:t xml:space="preserve">). Por meio do estudo da literatura e da análise das relações entre o conceito de Governança e o princípio da Transparência em Defesa, buscou-se responder ao problema de pesquisa. </w:t>
      </w:r>
    </w:p>
    <w:p w14:paraId="6C21DB6A" w14:textId="4A771E6D"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Além disso, classificou-se como uma pesquisa descritiva. Segundo Gil (20</w:t>
      </w:r>
      <w:r w:rsidR="0043149E" w:rsidRPr="009545B7">
        <w:rPr>
          <w:rFonts w:ascii="Times New Roman" w:hAnsi="Times New Roman" w:cs="Times New Roman"/>
          <w:color w:val="000000" w:themeColor="text1"/>
          <w:sz w:val="24"/>
          <w:szCs w:val="24"/>
        </w:rPr>
        <w:t>17</w:t>
      </w:r>
      <w:r w:rsidRPr="009545B7">
        <w:rPr>
          <w:rFonts w:ascii="Times New Roman" w:hAnsi="Times New Roman" w:cs="Times New Roman"/>
          <w:color w:val="000000" w:themeColor="text1"/>
          <w:sz w:val="24"/>
          <w:szCs w:val="24"/>
        </w:rPr>
        <w:t xml:space="preserve">), tal pesquisa visa a identificar possíveis relações entre variáveis. Buscou-se, também, identificar e compreender a relação entre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no setor de defesa e um possível fomento da interação com a sociedade civil. O presente estudo foi elaborado </w:t>
      </w:r>
      <w:r w:rsidR="003022B8" w:rsidRPr="009545B7">
        <w:rPr>
          <w:rFonts w:ascii="Times New Roman" w:hAnsi="Times New Roman" w:cs="Times New Roman"/>
          <w:color w:val="000000" w:themeColor="text1"/>
          <w:sz w:val="24"/>
          <w:szCs w:val="24"/>
        </w:rPr>
        <w:t>por</w:t>
      </w:r>
      <w:r w:rsidRPr="009545B7">
        <w:rPr>
          <w:rFonts w:ascii="Times New Roman" w:hAnsi="Times New Roman" w:cs="Times New Roman"/>
          <w:color w:val="000000" w:themeColor="text1"/>
          <w:sz w:val="24"/>
          <w:szCs w:val="24"/>
        </w:rPr>
        <w:t xml:space="preserve"> uma pesquisa baseada em material já publicado. Assim, quanto aos procedimentos técnicos, realizou-se uma pesquisa bibliográfica. De acordo com Gil (20</w:t>
      </w:r>
      <w:r w:rsidR="0043149E" w:rsidRPr="009545B7">
        <w:rPr>
          <w:rFonts w:ascii="Times New Roman" w:hAnsi="Times New Roman" w:cs="Times New Roman"/>
          <w:color w:val="000000" w:themeColor="text1"/>
          <w:sz w:val="24"/>
          <w:szCs w:val="24"/>
        </w:rPr>
        <w:t>17</w:t>
      </w:r>
      <w:r w:rsidRPr="009545B7">
        <w:rPr>
          <w:rFonts w:ascii="Times New Roman" w:hAnsi="Times New Roman" w:cs="Times New Roman"/>
          <w:color w:val="000000" w:themeColor="text1"/>
          <w:sz w:val="24"/>
          <w:szCs w:val="24"/>
        </w:rPr>
        <w:t>), na pesquisa bibliográfica, realiza-se investigação e registros. Além disso, tradicionalmente, a modalidade de pesquisa bibliográfica inclui material impresso, tais como teses, dissertações e anais de eventos científicos.</w:t>
      </w:r>
    </w:p>
    <w:p w14:paraId="69EB6FD6" w14:textId="69BAD231"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Para atender ao objetivo de pesquisa, realizou-se uma revisão sistemática da</w:t>
      </w:r>
      <w:r w:rsidRPr="009545B7">
        <w:rPr>
          <w:rFonts w:ascii="Times New Roman" w:hAnsi="Times New Roman" w:cs="Times New Roman"/>
          <w:b/>
          <w:bCs/>
          <w:color w:val="000000" w:themeColor="text1"/>
          <w:sz w:val="24"/>
          <w:szCs w:val="24"/>
        </w:rPr>
        <w:t xml:space="preserve"> </w:t>
      </w:r>
      <w:r w:rsidRPr="009545B7">
        <w:rPr>
          <w:rFonts w:ascii="Times New Roman" w:hAnsi="Times New Roman" w:cs="Times New Roman"/>
          <w:color w:val="000000" w:themeColor="text1"/>
          <w:sz w:val="24"/>
          <w:szCs w:val="24"/>
        </w:rPr>
        <w:t xml:space="preserve">literatura, a qual para </w:t>
      </w:r>
      <w:proofErr w:type="spellStart"/>
      <w:r w:rsidRPr="009545B7">
        <w:rPr>
          <w:rFonts w:ascii="Times New Roman" w:hAnsi="Times New Roman" w:cs="Times New Roman"/>
          <w:color w:val="000000" w:themeColor="text1"/>
          <w:sz w:val="24"/>
          <w:szCs w:val="24"/>
        </w:rPr>
        <w:t>Creswell</w:t>
      </w:r>
      <w:proofErr w:type="spellEnd"/>
      <w:r w:rsidRPr="009545B7">
        <w:rPr>
          <w:rFonts w:ascii="Times New Roman" w:hAnsi="Times New Roman" w:cs="Times New Roman"/>
          <w:color w:val="000000" w:themeColor="text1"/>
          <w:sz w:val="24"/>
          <w:szCs w:val="24"/>
        </w:rPr>
        <w:t xml:space="preserve"> (20</w:t>
      </w:r>
      <w:r w:rsidR="0043149E" w:rsidRPr="009545B7">
        <w:rPr>
          <w:rFonts w:ascii="Times New Roman" w:hAnsi="Times New Roman" w:cs="Times New Roman"/>
          <w:color w:val="000000" w:themeColor="text1"/>
          <w:sz w:val="24"/>
          <w:szCs w:val="24"/>
        </w:rPr>
        <w:t>07</w:t>
      </w:r>
      <w:r w:rsidRPr="009545B7">
        <w:rPr>
          <w:rFonts w:ascii="Times New Roman" w:hAnsi="Times New Roman" w:cs="Times New Roman"/>
          <w:color w:val="000000" w:themeColor="text1"/>
          <w:sz w:val="24"/>
          <w:szCs w:val="24"/>
        </w:rPr>
        <w:t xml:space="preserve">) cumpre diversos propósitos, dentre os quais, pode-se citar o compartilhamento dos resultados de diversos outros estudos que se relacionam intimamente ao que está sendo realizado. Dessa forma, é responsável por relacionar um estudo ao diálogo maior e contínuo na literatura corrente, preenchendo, assim,  lacunas e ampliando os estudos anteriores. Além disso, a utilização da abordagem qualitativa se justifica pelo fato de a literatura sobre Governança e Transparência Pública ser ampla e diversificada; isto significa que os achados sobre Governança em Defesa se encontram fracionados entre assuntos correlatos. Assim sendo, não são capazes de fornecer a visão adequada e requerida sobre o tema proposto. </w:t>
      </w:r>
    </w:p>
    <w:p w14:paraId="06538CB0" w14:textId="7B7FC8C4" w:rsidR="0086203C" w:rsidRDefault="00842C1F" w:rsidP="0030523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Logo, após a revisão sistemática da literatura, optou-se pela aplicação do método de análise de conteúdo. A análise buscou, assim, compreender de que forma 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se posiciona estruturada dentro do contexto de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do Setor de Defesa. Dessa forma, corroborando o defendido por </w:t>
      </w:r>
      <w:proofErr w:type="spellStart"/>
      <w:r w:rsidRPr="009545B7">
        <w:rPr>
          <w:rFonts w:ascii="Times New Roman" w:hAnsi="Times New Roman" w:cs="Times New Roman"/>
          <w:color w:val="000000" w:themeColor="text1"/>
          <w:sz w:val="24"/>
          <w:szCs w:val="24"/>
        </w:rPr>
        <w:t>Creswell</w:t>
      </w:r>
      <w:proofErr w:type="spellEnd"/>
      <w:r w:rsidR="00F55E0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20</w:t>
      </w:r>
      <w:r w:rsidR="0043149E" w:rsidRPr="009545B7">
        <w:rPr>
          <w:rFonts w:ascii="Times New Roman" w:hAnsi="Times New Roman" w:cs="Times New Roman"/>
          <w:color w:val="000000" w:themeColor="text1"/>
          <w:sz w:val="24"/>
          <w:szCs w:val="24"/>
        </w:rPr>
        <w:t>07</w:t>
      </w:r>
      <w:r w:rsidRPr="009545B7">
        <w:rPr>
          <w:rFonts w:ascii="Times New Roman" w:hAnsi="Times New Roman" w:cs="Times New Roman"/>
          <w:color w:val="000000" w:themeColor="text1"/>
          <w:sz w:val="24"/>
          <w:szCs w:val="24"/>
        </w:rPr>
        <w:t>) partiu-se de um quadro consolidado do assunto, passando por uma análise de dados e, finalmente, fornecendo as próprias perspectivas e interpretações do autor.</w:t>
      </w:r>
      <w:r w:rsidR="00167396" w:rsidRPr="009545B7">
        <w:rPr>
          <w:rFonts w:ascii="Times New Roman" w:hAnsi="Times New Roman" w:cs="Times New Roman"/>
          <w:color w:val="000000" w:themeColor="text1"/>
          <w:sz w:val="24"/>
          <w:szCs w:val="24"/>
        </w:rPr>
        <w:t xml:space="preserve"> As fases da pesquisa, bem como os critérios utilizados</w:t>
      </w:r>
      <w:r w:rsidR="00F55E07">
        <w:rPr>
          <w:rFonts w:ascii="Times New Roman" w:hAnsi="Times New Roman" w:cs="Times New Roman"/>
          <w:color w:val="000000" w:themeColor="text1"/>
          <w:sz w:val="24"/>
          <w:szCs w:val="24"/>
        </w:rPr>
        <w:t xml:space="preserve"> </w:t>
      </w:r>
      <w:r w:rsidR="00167396" w:rsidRPr="009545B7">
        <w:rPr>
          <w:rFonts w:ascii="Times New Roman" w:hAnsi="Times New Roman" w:cs="Times New Roman"/>
          <w:color w:val="000000" w:themeColor="text1"/>
          <w:sz w:val="24"/>
          <w:szCs w:val="24"/>
        </w:rPr>
        <w:t>encontram-se no A</w:t>
      </w:r>
      <w:r w:rsidR="00533353">
        <w:rPr>
          <w:rFonts w:ascii="Times New Roman" w:hAnsi="Times New Roman" w:cs="Times New Roman"/>
          <w:color w:val="000000" w:themeColor="text1"/>
          <w:sz w:val="24"/>
          <w:szCs w:val="24"/>
        </w:rPr>
        <w:t>PÊNDICE</w:t>
      </w:r>
      <w:r w:rsidR="00167396" w:rsidRPr="009545B7">
        <w:rPr>
          <w:rFonts w:ascii="Times New Roman" w:hAnsi="Times New Roman" w:cs="Times New Roman"/>
          <w:color w:val="000000" w:themeColor="text1"/>
          <w:sz w:val="24"/>
          <w:szCs w:val="24"/>
        </w:rPr>
        <w:t xml:space="preserve"> A.</w:t>
      </w:r>
      <w:bookmarkStart w:id="6" w:name="_Toc118763486"/>
    </w:p>
    <w:p w14:paraId="488C01AF" w14:textId="77777777" w:rsidR="007F2D8B" w:rsidRPr="00305237" w:rsidRDefault="007F2D8B" w:rsidP="00305237">
      <w:pPr>
        <w:autoSpaceDE w:val="0"/>
        <w:autoSpaceDN w:val="0"/>
        <w:adjustRightInd w:val="0"/>
        <w:spacing w:after="0" w:line="240" w:lineRule="auto"/>
        <w:rPr>
          <w:rFonts w:ascii="Times New Roman" w:hAnsi="Times New Roman" w:cs="Times New Roman"/>
          <w:color w:val="000000" w:themeColor="text1"/>
          <w:sz w:val="24"/>
          <w:szCs w:val="24"/>
        </w:rPr>
      </w:pPr>
    </w:p>
    <w:p w14:paraId="30F7186F" w14:textId="470A54CB" w:rsidR="00AF6410" w:rsidRDefault="00842C1F" w:rsidP="007F2D8B">
      <w:pPr>
        <w:pStyle w:val="Estilo2"/>
        <w:spacing w:before="0" w:after="0" w:line="240" w:lineRule="auto"/>
        <w:rPr>
          <w:rFonts w:ascii="Times New Roman" w:hAnsi="Times New Roman" w:cs="Times New Roman"/>
          <w:color w:val="000000" w:themeColor="text1"/>
        </w:rPr>
      </w:pPr>
      <w:r w:rsidRPr="009545B7">
        <w:rPr>
          <w:rFonts w:ascii="Times New Roman" w:hAnsi="Times New Roman" w:cs="Times New Roman"/>
          <w:color w:val="000000" w:themeColor="text1"/>
        </w:rPr>
        <w:t>3.1 PROCEDIMENTO DE COLETA DE DADOS</w:t>
      </w:r>
      <w:bookmarkEnd w:id="6"/>
    </w:p>
    <w:p w14:paraId="7263BE31" w14:textId="77777777" w:rsidR="003D33A6" w:rsidRPr="009545B7" w:rsidRDefault="003D33A6" w:rsidP="007F2D8B">
      <w:pPr>
        <w:pStyle w:val="Estilo2"/>
        <w:spacing w:before="0" w:after="0" w:line="240" w:lineRule="auto"/>
        <w:rPr>
          <w:rFonts w:ascii="Times New Roman" w:hAnsi="Times New Roman" w:cs="Times New Roman"/>
          <w:color w:val="000000" w:themeColor="text1"/>
        </w:rPr>
      </w:pPr>
    </w:p>
    <w:p w14:paraId="3D6FE6EE" w14:textId="4F3843CA" w:rsidR="008F7CF8" w:rsidRPr="009545B7" w:rsidRDefault="00842C1F" w:rsidP="007F2D8B">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O método de análise qualitativa</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como a de conteúdo</w:t>
      </w:r>
      <w:r w:rsidR="007F2D8B">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de BARDIN (2011)</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é utilizado para consolidar resultados e contribuições dos artigos coletados. Para a coleta e análise dos artigos, optou-se pela utilização da plataforma de pesquisa acadêmica </w:t>
      </w:r>
      <w:r w:rsidRPr="009545B7">
        <w:rPr>
          <w:rFonts w:ascii="Times New Roman" w:hAnsi="Times New Roman" w:cs="Times New Roman"/>
          <w:i/>
          <w:iCs/>
          <w:color w:val="000000" w:themeColor="text1"/>
          <w:sz w:val="24"/>
          <w:szCs w:val="24"/>
        </w:rPr>
        <w:t>Scopus</w:t>
      </w:r>
      <w:r w:rsidRPr="009545B7">
        <w:rPr>
          <w:rFonts w:ascii="Times New Roman" w:hAnsi="Times New Roman" w:cs="Times New Roman"/>
          <w:color w:val="000000" w:themeColor="text1"/>
          <w:sz w:val="24"/>
          <w:szCs w:val="24"/>
        </w:rPr>
        <w:t xml:space="preserve">. Tal escolha justificou-se por se tratar do maior banco de dados de resumos e citações da literatura. </w:t>
      </w:r>
    </w:p>
    <w:p w14:paraId="219E154C" w14:textId="2CB8A494" w:rsidR="008F7CF8"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Além disso, priorizou-se a busca por </w:t>
      </w:r>
      <w:proofErr w:type="spellStart"/>
      <w:r w:rsidRPr="009545B7">
        <w:rPr>
          <w:rFonts w:ascii="Times New Roman" w:hAnsi="Times New Roman" w:cs="Times New Roman"/>
          <w:i/>
          <w:iCs/>
          <w:color w:val="000000" w:themeColor="text1"/>
          <w:sz w:val="24"/>
          <w:szCs w:val="24"/>
        </w:rPr>
        <w:t>journals</w:t>
      </w:r>
      <w:proofErr w:type="spellEnd"/>
      <w:r w:rsidRPr="009545B7">
        <w:rPr>
          <w:rFonts w:ascii="Times New Roman" w:hAnsi="Times New Roman" w:cs="Times New Roman"/>
          <w:i/>
          <w:iCs/>
          <w:color w:val="000000" w:themeColor="text1"/>
          <w:sz w:val="24"/>
          <w:szCs w:val="24"/>
        </w:rPr>
        <w:t xml:space="preserve"> </w:t>
      </w:r>
      <w:r w:rsidRPr="009545B7">
        <w:rPr>
          <w:rFonts w:ascii="Times New Roman" w:hAnsi="Times New Roman" w:cs="Times New Roman"/>
          <w:color w:val="000000" w:themeColor="text1"/>
          <w:sz w:val="24"/>
          <w:szCs w:val="24"/>
        </w:rPr>
        <w:t>de origem internacional relacionados à abordagem acerca da Administração Pública, se possível, fazendo referência ao Setor de Defesa e possuindo, preferencialmente, qualificação “Q1”. Os artigos nacionais foram, preferencialmente, escolhidos de acordo com a qualificação “A”</w:t>
      </w:r>
      <w:r w:rsidR="007F2D8B">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ou “B” no </w:t>
      </w:r>
      <w:proofErr w:type="spellStart"/>
      <w:r w:rsidRPr="009545B7">
        <w:rPr>
          <w:rFonts w:ascii="Times New Roman" w:hAnsi="Times New Roman" w:cs="Times New Roman"/>
          <w:color w:val="000000" w:themeColor="text1"/>
          <w:sz w:val="24"/>
          <w:szCs w:val="24"/>
        </w:rPr>
        <w:t>Qualis</w:t>
      </w:r>
      <w:proofErr w:type="spellEnd"/>
      <w:r w:rsidRPr="009545B7">
        <w:rPr>
          <w:rFonts w:ascii="Times New Roman" w:hAnsi="Times New Roman" w:cs="Times New Roman"/>
          <w:color w:val="000000" w:themeColor="text1"/>
          <w:sz w:val="24"/>
          <w:szCs w:val="24"/>
        </w:rPr>
        <w:t xml:space="preserve">/CAPES e priorizados, também, mediante relação com a </w:t>
      </w:r>
      <w:r w:rsidR="00477A2F" w:rsidRPr="009545B7">
        <w:rPr>
          <w:rFonts w:ascii="Times New Roman" w:hAnsi="Times New Roman" w:cs="Times New Roman"/>
          <w:color w:val="000000" w:themeColor="text1"/>
          <w:sz w:val="24"/>
          <w:szCs w:val="24"/>
        </w:rPr>
        <w:t>A</w:t>
      </w:r>
      <w:r w:rsidRPr="009545B7">
        <w:rPr>
          <w:rFonts w:ascii="Times New Roman" w:hAnsi="Times New Roman" w:cs="Times New Roman"/>
          <w:color w:val="000000" w:themeColor="text1"/>
          <w:sz w:val="24"/>
          <w:szCs w:val="24"/>
        </w:rPr>
        <w:t xml:space="preserve">dministração </w:t>
      </w:r>
      <w:r w:rsidR="00477A2F" w:rsidRPr="009545B7">
        <w:rPr>
          <w:rFonts w:ascii="Times New Roman" w:hAnsi="Times New Roman" w:cs="Times New Roman"/>
          <w:color w:val="000000" w:themeColor="text1"/>
          <w:sz w:val="24"/>
          <w:szCs w:val="24"/>
        </w:rPr>
        <w:t>P</w:t>
      </w:r>
      <w:r w:rsidRPr="009545B7">
        <w:rPr>
          <w:rFonts w:ascii="Times New Roman" w:hAnsi="Times New Roman" w:cs="Times New Roman"/>
          <w:color w:val="000000" w:themeColor="text1"/>
          <w:sz w:val="24"/>
          <w:szCs w:val="24"/>
        </w:rPr>
        <w:t xml:space="preserve">ública. </w:t>
      </w:r>
    </w:p>
    <w:p w14:paraId="4BC5D692" w14:textId="40599629" w:rsidR="008F7CF8"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Empregou-se o método </w:t>
      </w:r>
      <w:r w:rsidRPr="009545B7">
        <w:rPr>
          <w:rFonts w:ascii="Times New Roman" w:hAnsi="Times New Roman" w:cs="Times New Roman"/>
          <w:i/>
          <w:iCs/>
          <w:color w:val="000000" w:themeColor="text1"/>
          <w:sz w:val="24"/>
          <w:szCs w:val="24"/>
        </w:rPr>
        <w:t>PRISMA-2020 (</w:t>
      </w:r>
      <w:proofErr w:type="spellStart"/>
      <w:r w:rsidRPr="009545B7">
        <w:rPr>
          <w:rFonts w:ascii="Times New Roman" w:hAnsi="Times New Roman" w:cs="Times New Roman"/>
          <w:i/>
          <w:iCs/>
          <w:color w:val="000000" w:themeColor="text1"/>
          <w:sz w:val="24"/>
          <w:szCs w:val="24"/>
        </w:rPr>
        <w:t>Preferred</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Reporting</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Items</w:t>
      </w:r>
      <w:proofErr w:type="spellEnd"/>
      <w:r w:rsidRPr="009545B7">
        <w:rPr>
          <w:rFonts w:ascii="Times New Roman" w:hAnsi="Times New Roman" w:cs="Times New Roman"/>
          <w:i/>
          <w:iCs/>
          <w:color w:val="000000" w:themeColor="text1"/>
          <w:sz w:val="24"/>
          <w:szCs w:val="24"/>
        </w:rPr>
        <w:t xml:space="preserve"> for </w:t>
      </w:r>
      <w:proofErr w:type="spellStart"/>
      <w:r w:rsidRPr="009545B7">
        <w:rPr>
          <w:rFonts w:ascii="Times New Roman" w:hAnsi="Times New Roman" w:cs="Times New Roman"/>
          <w:i/>
          <w:iCs/>
          <w:color w:val="000000" w:themeColor="text1"/>
          <w:sz w:val="24"/>
          <w:szCs w:val="24"/>
        </w:rPr>
        <w:t>Systematic</w:t>
      </w:r>
      <w:proofErr w:type="spellEnd"/>
      <w:r w:rsidRPr="009545B7">
        <w:rPr>
          <w:rFonts w:ascii="Times New Roman" w:hAnsi="Times New Roman" w:cs="Times New Roman"/>
          <w:i/>
          <w:iCs/>
          <w:color w:val="000000" w:themeColor="text1"/>
          <w:sz w:val="24"/>
          <w:szCs w:val="24"/>
        </w:rPr>
        <w:t xml:space="preserve"> Reviews </w:t>
      </w:r>
      <w:proofErr w:type="spellStart"/>
      <w:r w:rsidRPr="009545B7">
        <w:rPr>
          <w:rFonts w:ascii="Times New Roman" w:hAnsi="Times New Roman" w:cs="Times New Roman"/>
          <w:i/>
          <w:iCs/>
          <w:color w:val="000000" w:themeColor="text1"/>
          <w:sz w:val="24"/>
          <w:szCs w:val="24"/>
        </w:rPr>
        <w:t>and</w:t>
      </w:r>
      <w:proofErr w:type="spellEnd"/>
      <w:r w:rsidRPr="009545B7">
        <w:rPr>
          <w:rFonts w:ascii="Times New Roman" w:hAnsi="Times New Roman" w:cs="Times New Roman"/>
          <w:i/>
          <w:iCs/>
          <w:color w:val="000000" w:themeColor="text1"/>
          <w:sz w:val="24"/>
          <w:szCs w:val="24"/>
        </w:rPr>
        <w:t xml:space="preserve"> Meta-</w:t>
      </w:r>
      <w:proofErr w:type="spellStart"/>
      <w:r w:rsidRPr="009545B7">
        <w:rPr>
          <w:rFonts w:ascii="Times New Roman" w:hAnsi="Times New Roman" w:cs="Times New Roman"/>
          <w:i/>
          <w:iCs/>
          <w:color w:val="000000" w:themeColor="text1"/>
          <w:sz w:val="24"/>
          <w:szCs w:val="24"/>
        </w:rPr>
        <w:t>Analyses</w:t>
      </w:r>
      <w:proofErr w:type="spellEnd"/>
      <w:r w:rsidRPr="009545B7">
        <w:rPr>
          <w:rFonts w:ascii="Times New Roman" w:hAnsi="Times New Roman" w:cs="Times New Roman"/>
          <w:color w:val="000000" w:themeColor="text1"/>
          <w:sz w:val="24"/>
          <w:szCs w:val="24"/>
        </w:rPr>
        <w:t>),</w:t>
      </w:r>
      <w:r w:rsidR="005E4B34" w:rsidRPr="009545B7">
        <w:rPr>
          <w:rFonts w:ascii="Times New Roman" w:hAnsi="Times New Roman" w:cs="Times New Roman"/>
          <w:color w:val="000000" w:themeColor="text1"/>
          <w:sz w:val="24"/>
          <w:szCs w:val="24"/>
        </w:rPr>
        <w:t xml:space="preserve"> com base no trabalho de Page et al. (2022),</w:t>
      </w:r>
      <w:r w:rsidRPr="009545B7">
        <w:rPr>
          <w:rFonts w:ascii="Times New Roman" w:hAnsi="Times New Roman" w:cs="Times New Roman"/>
          <w:color w:val="000000" w:themeColor="text1"/>
          <w:sz w:val="24"/>
          <w:szCs w:val="24"/>
        </w:rPr>
        <w:t xml:space="preserve"> o qual indica um fluxo de três etapas para o reporte de revisões sistemáticas de literatura, quais sejam: Identificação, Triagem e Inclusão. </w:t>
      </w:r>
    </w:p>
    <w:p w14:paraId="23B7A2DE" w14:textId="1B7C235D"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Por fim, antes da seleção final dos artigos, houve a necessidade da inclusão de 13 artigos</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oriundos da plataforma </w:t>
      </w:r>
      <w:r w:rsidRPr="009545B7">
        <w:rPr>
          <w:rFonts w:ascii="Times New Roman" w:hAnsi="Times New Roman" w:cs="Times New Roman"/>
          <w:i/>
          <w:iCs/>
          <w:color w:val="000000" w:themeColor="text1"/>
          <w:sz w:val="24"/>
          <w:szCs w:val="24"/>
        </w:rPr>
        <w:t>Google Scholar</w:t>
      </w:r>
      <w:r w:rsidRPr="009545B7">
        <w:rPr>
          <w:rFonts w:ascii="Times New Roman" w:hAnsi="Times New Roman" w:cs="Times New Roman"/>
          <w:color w:val="000000" w:themeColor="text1"/>
          <w:sz w:val="24"/>
          <w:szCs w:val="24"/>
        </w:rPr>
        <w:t>, por meio do “Método Bola de Neve”</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que permitiu a </w:t>
      </w:r>
      <w:r w:rsidRPr="009545B7">
        <w:rPr>
          <w:rFonts w:ascii="Times New Roman" w:hAnsi="Times New Roman" w:cs="Times New Roman"/>
          <w:color w:val="000000" w:themeColor="text1"/>
          <w:sz w:val="24"/>
          <w:szCs w:val="24"/>
        </w:rPr>
        <w:lastRenderedPageBreak/>
        <w:t>inferência a pesquisadores atuantes na área de Estudos em Defesa e, no caso espec</w:t>
      </w:r>
      <w:r w:rsidR="007F2D8B">
        <w:rPr>
          <w:rFonts w:ascii="Times New Roman" w:hAnsi="Times New Roman" w:cs="Times New Roman"/>
          <w:color w:val="000000" w:themeColor="text1"/>
          <w:sz w:val="24"/>
          <w:szCs w:val="24"/>
        </w:rPr>
        <w:t>í</w:t>
      </w:r>
      <w:r w:rsidRPr="009545B7">
        <w:rPr>
          <w:rFonts w:ascii="Times New Roman" w:hAnsi="Times New Roman" w:cs="Times New Roman"/>
          <w:color w:val="000000" w:themeColor="text1"/>
          <w:sz w:val="24"/>
          <w:szCs w:val="24"/>
        </w:rPr>
        <w:t xml:space="preserve">fico do Brasil, não encontrados na plataforma de pesquisa acadêmica </w:t>
      </w:r>
      <w:r w:rsidRPr="009545B7">
        <w:rPr>
          <w:rFonts w:ascii="Times New Roman" w:hAnsi="Times New Roman" w:cs="Times New Roman"/>
          <w:i/>
          <w:iCs/>
          <w:color w:val="000000" w:themeColor="text1"/>
          <w:sz w:val="24"/>
          <w:szCs w:val="24"/>
        </w:rPr>
        <w:t>Scopus</w:t>
      </w:r>
      <w:r w:rsidRPr="009545B7">
        <w:rPr>
          <w:rFonts w:ascii="Times New Roman" w:hAnsi="Times New Roman" w:cs="Times New Roman"/>
          <w:color w:val="000000" w:themeColor="text1"/>
          <w:sz w:val="24"/>
          <w:szCs w:val="24"/>
        </w:rPr>
        <w:t>.</w:t>
      </w:r>
    </w:p>
    <w:p w14:paraId="6D74DFE2" w14:textId="77777777" w:rsidR="00900DEF" w:rsidRPr="009545B7" w:rsidRDefault="00900DEF" w:rsidP="00305237">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13AAACC2" w14:textId="69274624" w:rsidR="00F57610" w:rsidRDefault="00842C1F" w:rsidP="0089500F">
      <w:pPr>
        <w:pStyle w:val="Estilo3"/>
        <w:spacing w:before="0"/>
        <w:rPr>
          <w:rFonts w:ascii="Times New Roman" w:hAnsi="Times New Roman" w:cs="Times New Roman"/>
        </w:rPr>
      </w:pPr>
      <w:bookmarkStart w:id="7" w:name="_Toc118763487"/>
      <w:r w:rsidRPr="009545B7">
        <w:rPr>
          <w:rFonts w:ascii="Times New Roman" w:hAnsi="Times New Roman" w:cs="Times New Roman"/>
        </w:rPr>
        <w:t>3.1.</w:t>
      </w:r>
      <w:r w:rsidR="0089500F" w:rsidRPr="009545B7">
        <w:rPr>
          <w:rFonts w:ascii="Times New Roman" w:hAnsi="Times New Roman" w:cs="Times New Roman"/>
        </w:rPr>
        <w:t>1</w:t>
      </w:r>
      <w:r w:rsidRPr="009545B7">
        <w:rPr>
          <w:rFonts w:ascii="Times New Roman" w:hAnsi="Times New Roman" w:cs="Times New Roman"/>
        </w:rPr>
        <w:t xml:space="preserve"> Identificação</w:t>
      </w:r>
      <w:bookmarkEnd w:id="7"/>
    </w:p>
    <w:p w14:paraId="22BACB0A" w14:textId="77777777" w:rsidR="00AF6410" w:rsidRPr="009545B7" w:rsidRDefault="00AF6410" w:rsidP="0089500F">
      <w:pPr>
        <w:pStyle w:val="Estilo3"/>
        <w:spacing w:before="0"/>
        <w:rPr>
          <w:rFonts w:ascii="Times New Roman" w:hAnsi="Times New Roman" w:cs="Times New Roman"/>
        </w:rPr>
      </w:pPr>
    </w:p>
    <w:p w14:paraId="5A64F620" w14:textId="136BA227" w:rsidR="008F7CF8" w:rsidRPr="009545B7" w:rsidRDefault="00842C1F" w:rsidP="0089500F">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Em pesquisa preliminar na plataforma </w:t>
      </w:r>
      <w:r w:rsidRPr="009545B7">
        <w:rPr>
          <w:rFonts w:ascii="Times New Roman" w:hAnsi="Times New Roman" w:cs="Times New Roman"/>
          <w:i/>
          <w:iCs/>
          <w:color w:val="000000" w:themeColor="text1"/>
          <w:sz w:val="24"/>
          <w:szCs w:val="24"/>
        </w:rPr>
        <w:t>Scopus</w:t>
      </w:r>
      <w:r w:rsidRPr="009545B7">
        <w:rPr>
          <w:rFonts w:ascii="Times New Roman" w:hAnsi="Times New Roman" w:cs="Times New Roman"/>
          <w:color w:val="000000" w:themeColor="text1"/>
          <w:sz w:val="24"/>
          <w:szCs w:val="24"/>
        </w:rPr>
        <w:t xml:space="preserve"> foi identificado o número expressivo de 5.444 artigos, considerando como parâmetro apenas a busca por artigos com os termos “</w:t>
      </w:r>
      <w:proofErr w:type="spellStart"/>
      <w:r w:rsidRPr="009545B7">
        <w:rPr>
          <w:rFonts w:ascii="Times New Roman" w:hAnsi="Times New Roman" w:cs="Times New Roman"/>
          <w:i/>
          <w:iCs/>
          <w:color w:val="000000" w:themeColor="text1"/>
          <w:sz w:val="24"/>
          <w:szCs w:val="24"/>
        </w:rPr>
        <w:t>Defence</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or</w:t>
      </w:r>
      <w:proofErr w:type="spellEnd"/>
      <w:r w:rsidRPr="009545B7">
        <w:rPr>
          <w:rFonts w:ascii="Times New Roman" w:hAnsi="Times New Roman" w:cs="Times New Roman"/>
          <w:i/>
          <w:iCs/>
          <w:color w:val="000000" w:themeColor="text1"/>
          <w:sz w:val="24"/>
          <w:szCs w:val="24"/>
        </w:rPr>
        <w:t xml:space="preserve"> Defense </w:t>
      </w:r>
      <w:proofErr w:type="spellStart"/>
      <w:r w:rsidRPr="009545B7">
        <w:rPr>
          <w:rFonts w:ascii="Times New Roman" w:hAnsi="Times New Roman" w:cs="Times New Roman"/>
          <w:i/>
          <w:iCs/>
          <w:color w:val="000000" w:themeColor="text1"/>
          <w:sz w:val="24"/>
          <w:szCs w:val="24"/>
        </w:rPr>
        <w:t>and</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Governance</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and</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Transparency</w:t>
      </w:r>
      <w:proofErr w:type="spellEnd"/>
      <w:r w:rsidRPr="009545B7">
        <w:rPr>
          <w:rFonts w:ascii="Times New Roman" w:hAnsi="Times New Roman" w:cs="Times New Roman"/>
          <w:color w:val="000000" w:themeColor="text1"/>
          <w:sz w:val="24"/>
          <w:szCs w:val="24"/>
        </w:rPr>
        <w:t>”,</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que deveriam figurar ou no título, ou no resumo ou nas palavras-chave</w:t>
      </w:r>
      <w:r w:rsidR="00533353">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sem estabelecer limite temporal ou outro contexto delimitador. </w:t>
      </w:r>
    </w:p>
    <w:p w14:paraId="48C9EFEC" w14:textId="7D31CF34" w:rsidR="008F7CF8" w:rsidRPr="009545B7" w:rsidRDefault="00842C1F" w:rsidP="0089500F">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Posteriormente, devido à necessidade de refinamento, aplicou-se uma restrição com o intuito de se identificar artigos publicados nos últimos vinte anos, dessa forma, o horizonte temporal foi de 2002 a 2022. O intervalo foi escolhido por compreender o ano de publicação do livro seminal, responsável pela abordagem das perspectivas emergentes sobre os paradigmas da Nova Governança P</w:t>
      </w:r>
      <w:r w:rsidR="00BC4E23" w:rsidRPr="009545B7">
        <w:rPr>
          <w:rFonts w:ascii="Times New Roman" w:hAnsi="Times New Roman" w:cs="Times New Roman"/>
          <w:color w:val="000000" w:themeColor="text1"/>
          <w:sz w:val="24"/>
          <w:szCs w:val="24"/>
        </w:rPr>
        <w:t>ú</w:t>
      </w:r>
      <w:r w:rsidRPr="009545B7">
        <w:rPr>
          <w:rFonts w:ascii="Times New Roman" w:hAnsi="Times New Roman" w:cs="Times New Roman"/>
          <w:color w:val="000000" w:themeColor="text1"/>
          <w:sz w:val="24"/>
          <w:szCs w:val="24"/>
        </w:rPr>
        <w:t>blica, de autoria de Osborne (2010)</w:t>
      </w:r>
      <w:r w:rsidR="008F7CF8"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enquanto 2022 delimita um período capaz de fornecer informações sobre as principais mudanças geradas pela evolução do conceito de Governança Pública e a garantia de resultados capazes de traduzir o cenário atual vivenciado pelas organizações públicas contemporâneas. </w:t>
      </w:r>
    </w:p>
    <w:p w14:paraId="4ED1E872" w14:textId="44EF1183" w:rsidR="00842C1F"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Foi realizada, também, uma filtragem por área de conhecimento, selecionando-se </w:t>
      </w:r>
      <w:r w:rsidRPr="009545B7">
        <w:rPr>
          <w:rFonts w:ascii="Times New Roman" w:hAnsi="Times New Roman" w:cs="Times New Roman"/>
          <w:i/>
          <w:iCs/>
          <w:color w:val="000000" w:themeColor="text1"/>
          <w:sz w:val="24"/>
          <w:szCs w:val="24"/>
        </w:rPr>
        <w:t xml:space="preserve">“Business, Management </w:t>
      </w:r>
      <w:proofErr w:type="spellStart"/>
      <w:r w:rsidRPr="009545B7">
        <w:rPr>
          <w:rFonts w:ascii="Times New Roman" w:hAnsi="Times New Roman" w:cs="Times New Roman"/>
          <w:i/>
          <w:iCs/>
          <w:color w:val="000000" w:themeColor="text1"/>
          <w:sz w:val="24"/>
          <w:szCs w:val="24"/>
        </w:rPr>
        <w:t>and</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Accounting</w:t>
      </w:r>
      <w:proofErr w:type="spellEnd"/>
      <w:r w:rsidRPr="009545B7">
        <w:rPr>
          <w:rFonts w:ascii="Times New Roman" w:hAnsi="Times New Roman" w:cs="Times New Roman"/>
          <w:i/>
          <w:iCs/>
          <w:color w:val="000000" w:themeColor="text1"/>
          <w:sz w:val="24"/>
          <w:szCs w:val="24"/>
        </w:rPr>
        <w:t xml:space="preserve">”, “Social </w:t>
      </w:r>
      <w:proofErr w:type="spellStart"/>
      <w:r w:rsidRPr="009545B7">
        <w:rPr>
          <w:rFonts w:ascii="Times New Roman" w:hAnsi="Times New Roman" w:cs="Times New Roman"/>
          <w:i/>
          <w:iCs/>
          <w:color w:val="000000" w:themeColor="text1"/>
          <w:sz w:val="24"/>
          <w:szCs w:val="24"/>
        </w:rPr>
        <w:t>Sciences</w:t>
      </w:r>
      <w:proofErr w:type="spellEnd"/>
      <w:r w:rsidRPr="009545B7">
        <w:rPr>
          <w:rFonts w:ascii="Times New Roman" w:hAnsi="Times New Roman" w:cs="Times New Roman"/>
          <w:i/>
          <w:iCs/>
          <w:color w:val="000000" w:themeColor="text1"/>
          <w:sz w:val="24"/>
          <w:szCs w:val="24"/>
        </w:rPr>
        <w:t>”, “</w:t>
      </w:r>
      <w:proofErr w:type="spellStart"/>
      <w:r w:rsidRPr="009545B7">
        <w:rPr>
          <w:rFonts w:ascii="Times New Roman" w:hAnsi="Times New Roman" w:cs="Times New Roman"/>
          <w:i/>
          <w:iCs/>
          <w:color w:val="000000" w:themeColor="text1"/>
          <w:sz w:val="24"/>
          <w:szCs w:val="24"/>
        </w:rPr>
        <w:t>Decision</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Sciences</w:t>
      </w:r>
      <w:proofErr w:type="spellEnd"/>
      <w:r w:rsidRPr="009545B7">
        <w:rPr>
          <w:rFonts w:ascii="Times New Roman" w:hAnsi="Times New Roman" w:cs="Times New Roman"/>
          <w:i/>
          <w:iCs/>
          <w:color w:val="000000" w:themeColor="text1"/>
          <w:sz w:val="24"/>
          <w:szCs w:val="24"/>
        </w:rPr>
        <w:t>” e “</w:t>
      </w:r>
      <w:proofErr w:type="spellStart"/>
      <w:r w:rsidRPr="009545B7">
        <w:rPr>
          <w:rFonts w:ascii="Times New Roman" w:hAnsi="Times New Roman" w:cs="Times New Roman"/>
          <w:i/>
          <w:iCs/>
          <w:color w:val="000000" w:themeColor="text1"/>
          <w:sz w:val="24"/>
          <w:szCs w:val="24"/>
        </w:rPr>
        <w:t>Multidisciplinary</w:t>
      </w:r>
      <w:proofErr w:type="spellEnd"/>
      <w:r w:rsidRPr="009545B7">
        <w:rPr>
          <w:rFonts w:ascii="Times New Roman" w:hAnsi="Times New Roman" w:cs="Times New Roman"/>
          <w:i/>
          <w:iCs/>
          <w:color w:val="000000" w:themeColor="text1"/>
          <w:sz w:val="24"/>
          <w:szCs w:val="24"/>
        </w:rPr>
        <w:t xml:space="preserve">”. </w:t>
      </w:r>
      <w:r w:rsidRPr="009545B7">
        <w:rPr>
          <w:rFonts w:ascii="Times New Roman" w:hAnsi="Times New Roman" w:cs="Times New Roman"/>
          <w:color w:val="000000" w:themeColor="text1"/>
          <w:sz w:val="24"/>
          <w:szCs w:val="24"/>
        </w:rPr>
        <w:t>Dessa forma, foram encontrados 4.147 resultados. Após isso, foi incluído o filtro “</w:t>
      </w:r>
      <w:proofErr w:type="spellStart"/>
      <w:r w:rsidRPr="009545B7">
        <w:rPr>
          <w:rFonts w:ascii="Times New Roman" w:hAnsi="Times New Roman" w:cs="Times New Roman"/>
          <w:i/>
          <w:iCs/>
          <w:color w:val="000000" w:themeColor="text1"/>
          <w:sz w:val="24"/>
          <w:szCs w:val="24"/>
        </w:rPr>
        <w:t>Secrecy</w:t>
      </w:r>
      <w:proofErr w:type="spellEnd"/>
      <w:r w:rsidRPr="009545B7">
        <w:rPr>
          <w:rFonts w:ascii="Times New Roman" w:hAnsi="Times New Roman" w:cs="Times New Roman"/>
          <w:color w:val="000000" w:themeColor="text1"/>
          <w:sz w:val="24"/>
          <w:szCs w:val="24"/>
        </w:rPr>
        <w:t>”</w:t>
      </w:r>
      <w:r w:rsidR="008F7CF8" w:rsidRPr="009545B7">
        <w:rPr>
          <w:rFonts w:ascii="Times New Roman" w:hAnsi="Times New Roman" w:cs="Times New Roman"/>
          <w:color w:val="000000" w:themeColor="text1"/>
        </w:rPr>
        <w:t xml:space="preserve">, </w:t>
      </w:r>
      <w:r w:rsidR="008F7CF8" w:rsidRPr="009545B7">
        <w:rPr>
          <w:rFonts w:ascii="Times New Roman" w:hAnsi="Times New Roman" w:cs="Times New Roman"/>
          <w:color w:val="000000" w:themeColor="text1"/>
          <w:sz w:val="24"/>
          <w:szCs w:val="24"/>
        </w:rPr>
        <w:t xml:space="preserve">visando identificar artigos que abordassem o tema referente à necessidade de sigilo nas instituições, </w:t>
      </w:r>
      <w:r w:rsidRPr="009545B7">
        <w:rPr>
          <w:rFonts w:ascii="Times New Roman" w:hAnsi="Times New Roman" w:cs="Times New Roman"/>
          <w:color w:val="000000" w:themeColor="text1"/>
          <w:sz w:val="24"/>
          <w:szCs w:val="24"/>
        </w:rPr>
        <w:t>e selecionado o refinamento de fonte por “</w:t>
      </w:r>
      <w:proofErr w:type="spellStart"/>
      <w:r w:rsidRPr="009545B7">
        <w:rPr>
          <w:rFonts w:ascii="Times New Roman" w:hAnsi="Times New Roman" w:cs="Times New Roman"/>
          <w:i/>
          <w:iCs/>
          <w:color w:val="000000" w:themeColor="text1"/>
          <w:sz w:val="24"/>
          <w:szCs w:val="24"/>
        </w:rPr>
        <w:t>journals</w:t>
      </w:r>
      <w:proofErr w:type="spellEnd"/>
      <w:r w:rsidRPr="009545B7">
        <w:rPr>
          <w:rFonts w:ascii="Times New Roman" w:hAnsi="Times New Roman" w:cs="Times New Roman"/>
          <w:i/>
          <w:iCs/>
          <w:color w:val="000000" w:themeColor="text1"/>
          <w:sz w:val="24"/>
          <w:szCs w:val="24"/>
        </w:rPr>
        <w:t xml:space="preserve">” </w:t>
      </w:r>
      <w:r w:rsidRPr="009545B7">
        <w:rPr>
          <w:rFonts w:ascii="Times New Roman" w:hAnsi="Times New Roman" w:cs="Times New Roman"/>
          <w:color w:val="000000" w:themeColor="text1"/>
          <w:sz w:val="24"/>
          <w:szCs w:val="24"/>
        </w:rPr>
        <w:t>apenas. Por fim, foram coletados 189 resultados.</w:t>
      </w:r>
    </w:p>
    <w:p w14:paraId="227FB6D1" w14:textId="77777777" w:rsidR="007F2D8B" w:rsidRPr="009545B7" w:rsidRDefault="007F2D8B" w:rsidP="00730D14">
      <w:pPr>
        <w:autoSpaceDE w:val="0"/>
        <w:autoSpaceDN w:val="0"/>
        <w:adjustRightInd w:val="0"/>
        <w:spacing w:after="0" w:line="240" w:lineRule="auto"/>
        <w:rPr>
          <w:rFonts w:ascii="Times New Roman" w:hAnsi="Times New Roman" w:cs="Times New Roman"/>
          <w:color w:val="000000" w:themeColor="text1"/>
          <w:sz w:val="24"/>
          <w:szCs w:val="24"/>
        </w:rPr>
      </w:pPr>
    </w:p>
    <w:p w14:paraId="662D0BB7" w14:textId="2D1CB26B" w:rsidR="00AF6410" w:rsidRDefault="00842C1F" w:rsidP="007F2D8B">
      <w:pPr>
        <w:pStyle w:val="Estilo3"/>
        <w:spacing w:before="0"/>
        <w:rPr>
          <w:rFonts w:ascii="Times New Roman" w:hAnsi="Times New Roman" w:cs="Times New Roman"/>
        </w:rPr>
      </w:pPr>
      <w:bookmarkStart w:id="8" w:name="_Toc118763488"/>
      <w:r w:rsidRPr="009545B7">
        <w:rPr>
          <w:rFonts w:ascii="Times New Roman" w:hAnsi="Times New Roman" w:cs="Times New Roman"/>
        </w:rPr>
        <w:t>3.1.2 Triagem</w:t>
      </w:r>
      <w:bookmarkEnd w:id="8"/>
      <w:r w:rsidRPr="009545B7">
        <w:rPr>
          <w:rFonts w:ascii="Times New Roman" w:hAnsi="Times New Roman" w:cs="Times New Roman"/>
        </w:rPr>
        <w:t xml:space="preserve"> </w:t>
      </w:r>
    </w:p>
    <w:p w14:paraId="40F57C87" w14:textId="77777777" w:rsidR="003D33A6" w:rsidRPr="009545B7" w:rsidRDefault="003D33A6" w:rsidP="007F2D8B">
      <w:pPr>
        <w:pStyle w:val="Estilo3"/>
        <w:spacing w:before="0"/>
        <w:rPr>
          <w:rFonts w:ascii="Times New Roman" w:hAnsi="Times New Roman" w:cs="Times New Roman"/>
        </w:rPr>
      </w:pPr>
    </w:p>
    <w:p w14:paraId="23A8BC26" w14:textId="67BCAE5C" w:rsidR="008F7CF8" w:rsidRPr="009545B7" w:rsidRDefault="00842C1F" w:rsidP="007F2D8B">
      <w:pPr>
        <w:pStyle w:val="Default"/>
        <w:ind w:firstLine="709"/>
        <w:jc w:val="both"/>
        <w:rPr>
          <w:color w:val="000000" w:themeColor="text1"/>
        </w:rPr>
      </w:pPr>
      <w:r w:rsidRPr="009545B7">
        <w:rPr>
          <w:color w:val="000000" w:themeColor="text1"/>
        </w:rPr>
        <w:t xml:space="preserve">Na triagem, procedeu-se a leitura de títulos e resumos. Não houve </w:t>
      </w:r>
      <w:r w:rsidR="003022B8" w:rsidRPr="009545B7">
        <w:rPr>
          <w:color w:val="000000" w:themeColor="text1"/>
        </w:rPr>
        <w:t>artigos</w:t>
      </w:r>
      <w:r w:rsidRPr="009545B7">
        <w:rPr>
          <w:color w:val="000000" w:themeColor="text1"/>
        </w:rPr>
        <w:t xml:space="preserve"> em duplicidade. A leitura de títulos e resumos permitiu uma seleção </w:t>
      </w:r>
      <w:r w:rsidR="003022B8" w:rsidRPr="009545B7">
        <w:rPr>
          <w:color w:val="000000" w:themeColor="text1"/>
        </w:rPr>
        <w:t>inicial</w:t>
      </w:r>
      <w:r w:rsidRPr="009545B7">
        <w:rPr>
          <w:color w:val="000000" w:themeColor="text1"/>
        </w:rPr>
        <w:t xml:space="preserve"> dos artigos que poderiam apresentar definições de Governança e Transparência Pública, além de abordagens acerca da aplicação destes conceitos no Setor de Defesa. Nessa etapa, foram excluídos 145 artigos, os quais tratavam de aplicações em outras áreas de conhecimento ou diferentes abordagens sobre o tema proposto. Mais especificamente, os artigos excluídos apresentavam por exemplo, estudos sobre dimensões de Transparência distintas do foco deste artigo ou abordagens sobre boa </w:t>
      </w:r>
      <w:r w:rsidR="00854E7A" w:rsidRPr="009545B7">
        <w:rPr>
          <w:color w:val="000000" w:themeColor="text1"/>
        </w:rPr>
        <w:t>G</w:t>
      </w:r>
      <w:r w:rsidRPr="009545B7">
        <w:rPr>
          <w:color w:val="000000" w:themeColor="text1"/>
        </w:rPr>
        <w:t xml:space="preserve">overnança e, até mesmo, análises estritas sobre os princípios da </w:t>
      </w:r>
      <w:r w:rsidR="00854E7A" w:rsidRPr="009545B7">
        <w:rPr>
          <w:color w:val="000000" w:themeColor="text1"/>
        </w:rPr>
        <w:t>G</w:t>
      </w:r>
      <w:r w:rsidRPr="009545B7">
        <w:rPr>
          <w:color w:val="000000" w:themeColor="text1"/>
        </w:rPr>
        <w:t>overnança.</w:t>
      </w:r>
    </w:p>
    <w:p w14:paraId="5CA8542E" w14:textId="66876318" w:rsidR="008F7CF8" w:rsidRPr="009545B7" w:rsidRDefault="008F7CF8" w:rsidP="00730D14">
      <w:pPr>
        <w:pStyle w:val="Default"/>
        <w:ind w:firstLine="708"/>
        <w:jc w:val="both"/>
        <w:rPr>
          <w:color w:val="000000" w:themeColor="text1"/>
        </w:rPr>
      </w:pPr>
      <w:r w:rsidRPr="009545B7">
        <w:rPr>
          <w:color w:val="000000" w:themeColor="text1"/>
        </w:rPr>
        <w:t>Assim, restaram 44 artigos. Após, análise mais aprofundada dos títulos e resumos destes artigos restantes, momento no qual foram excluídos mais 2</w:t>
      </w:r>
      <w:r w:rsidR="00413B84" w:rsidRPr="009545B7">
        <w:rPr>
          <w:color w:val="000000" w:themeColor="text1"/>
        </w:rPr>
        <w:t>3</w:t>
      </w:r>
      <w:r w:rsidRPr="009545B7">
        <w:rPr>
          <w:color w:val="000000" w:themeColor="text1"/>
        </w:rPr>
        <w:t xml:space="preserve"> artigos por não estarem plenamente aderentes ao tema. Dos 44 artigos, 1</w:t>
      </w:r>
      <w:r w:rsidR="00413B84" w:rsidRPr="009545B7">
        <w:rPr>
          <w:color w:val="000000" w:themeColor="text1"/>
        </w:rPr>
        <w:t>6</w:t>
      </w:r>
      <w:r w:rsidRPr="009545B7">
        <w:rPr>
          <w:color w:val="000000" w:themeColor="text1"/>
        </w:rPr>
        <w:t xml:space="preserve"> foram excluídos por abordarem assuntos que não se adequavam ao escopo da Transparência Pública, considerando a </w:t>
      </w:r>
      <w:r w:rsidR="00164C5A" w:rsidRPr="009545B7">
        <w:rPr>
          <w:color w:val="000000" w:themeColor="text1"/>
        </w:rPr>
        <w:t>T</w:t>
      </w:r>
      <w:r w:rsidRPr="009545B7">
        <w:rPr>
          <w:color w:val="000000" w:themeColor="text1"/>
        </w:rPr>
        <w:t xml:space="preserve">ransparência somente em organizações privadas e outros 7 por tratarem de conceitos que já figuravam de maneira mais completa nos artigos que foram mantidos. </w:t>
      </w:r>
    </w:p>
    <w:p w14:paraId="235CF882" w14:textId="0B1D64C4" w:rsidR="00842C1F" w:rsidRPr="009545B7" w:rsidRDefault="008F7CF8" w:rsidP="00730D14">
      <w:pPr>
        <w:pStyle w:val="Default"/>
        <w:ind w:firstLine="708"/>
        <w:jc w:val="both"/>
        <w:rPr>
          <w:color w:val="000000" w:themeColor="text1"/>
        </w:rPr>
      </w:pPr>
      <w:r w:rsidRPr="009545B7">
        <w:rPr>
          <w:color w:val="000000" w:themeColor="text1"/>
        </w:rPr>
        <w:t xml:space="preserve">Por fim, foram excluídos </w:t>
      </w:r>
      <w:r w:rsidR="00413B84" w:rsidRPr="009545B7">
        <w:rPr>
          <w:color w:val="000000" w:themeColor="text1"/>
        </w:rPr>
        <w:t>7</w:t>
      </w:r>
      <w:r w:rsidRPr="009545B7">
        <w:rPr>
          <w:color w:val="000000" w:themeColor="text1"/>
        </w:rPr>
        <w:t xml:space="preserve"> artigos publicados em revistas acadêmicas com classificação diferente de “Q1”. Dessa forma, foram analisados 1</w:t>
      </w:r>
      <w:r w:rsidR="00413B84" w:rsidRPr="009545B7">
        <w:rPr>
          <w:color w:val="000000" w:themeColor="text1"/>
        </w:rPr>
        <w:t>4</w:t>
      </w:r>
      <w:r w:rsidRPr="009545B7">
        <w:rPr>
          <w:color w:val="000000" w:themeColor="text1"/>
        </w:rPr>
        <w:t xml:space="preserve"> artigos para elegibilidade, os quais foram lidos de forma integral.</w:t>
      </w:r>
    </w:p>
    <w:p w14:paraId="3A390F1B" w14:textId="38A9327A" w:rsidR="00730D14" w:rsidRDefault="00730D14" w:rsidP="00730D14">
      <w:pPr>
        <w:pStyle w:val="Default"/>
        <w:ind w:firstLine="708"/>
        <w:jc w:val="both"/>
        <w:rPr>
          <w:b/>
          <w:bCs/>
          <w:color w:val="000000" w:themeColor="text1"/>
          <w:sz w:val="22"/>
          <w:szCs w:val="22"/>
        </w:rPr>
      </w:pPr>
    </w:p>
    <w:p w14:paraId="4E024A5C" w14:textId="48EB95AC" w:rsidR="00F57610" w:rsidRDefault="00F57610" w:rsidP="00730D14">
      <w:pPr>
        <w:pStyle w:val="Default"/>
        <w:ind w:firstLine="708"/>
        <w:jc w:val="both"/>
        <w:rPr>
          <w:b/>
          <w:bCs/>
          <w:color w:val="000000" w:themeColor="text1"/>
          <w:sz w:val="22"/>
          <w:szCs w:val="22"/>
        </w:rPr>
      </w:pPr>
    </w:p>
    <w:p w14:paraId="4F90B99D" w14:textId="7E2DA9A7" w:rsidR="00AF6410" w:rsidRDefault="00AF6410" w:rsidP="00AF6410">
      <w:pPr>
        <w:pStyle w:val="Default"/>
        <w:jc w:val="both"/>
        <w:rPr>
          <w:b/>
          <w:bCs/>
          <w:color w:val="000000" w:themeColor="text1"/>
          <w:sz w:val="22"/>
          <w:szCs w:val="22"/>
        </w:rPr>
      </w:pPr>
    </w:p>
    <w:p w14:paraId="38D261E8" w14:textId="77777777" w:rsidR="00AF6410" w:rsidRDefault="00AF6410" w:rsidP="00AF6410">
      <w:pPr>
        <w:pStyle w:val="Default"/>
        <w:jc w:val="both"/>
        <w:rPr>
          <w:b/>
          <w:bCs/>
          <w:color w:val="000000" w:themeColor="text1"/>
          <w:sz w:val="22"/>
          <w:szCs w:val="22"/>
        </w:rPr>
      </w:pPr>
    </w:p>
    <w:p w14:paraId="4D440DA3" w14:textId="77777777" w:rsidR="00F57610" w:rsidRPr="009545B7" w:rsidRDefault="00F57610" w:rsidP="00730D14">
      <w:pPr>
        <w:pStyle w:val="Default"/>
        <w:ind w:firstLine="708"/>
        <w:jc w:val="both"/>
        <w:rPr>
          <w:b/>
          <w:bCs/>
          <w:color w:val="000000" w:themeColor="text1"/>
          <w:sz w:val="22"/>
          <w:szCs w:val="22"/>
        </w:rPr>
      </w:pPr>
    </w:p>
    <w:p w14:paraId="304A6C40" w14:textId="77777777" w:rsidR="007F2D8B" w:rsidRDefault="007F2D8B" w:rsidP="0086203C">
      <w:pPr>
        <w:pStyle w:val="Default"/>
        <w:rPr>
          <w:b/>
          <w:bCs/>
          <w:color w:val="000000" w:themeColor="text1"/>
          <w:sz w:val="20"/>
          <w:szCs w:val="20"/>
        </w:rPr>
      </w:pPr>
    </w:p>
    <w:p w14:paraId="40B6669F" w14:textId="18953CCE" w:rsidR="00842C1F" w:rsidRDefault="00842C1F" w:rsidP="004B5200">
      <w:pPr>
        <w:pStyle w:val="Default"/>
        <w:ind w:firstLine="284"/>
        <w:rPr>
          <w:b/>
          <w:bCs/>
          <w:color w:val="000000" w:themeColor="text1"/>
          <w:sz w:val="20"/>
          <w:szCs w:val="20"/>
        </w:rPr>
      </w:pPr>
      <w:r w:rsidRPr="009545B7">
        <w:rPr>
          <w:b/>
          <w:bCs/>
          <w:color w:val="000000" w:themeColor="text1"/>
          <w:sz w:val="20"/>
          <w:szCs w:val="20"/>
        </w:rPr>
        <w:lastRenderedPageBreak/>
        <w:t xml:space="preserve">Quadro </w:t>
      </w:r>
      <w:r w:rsidR="00511457" w:rsidRPr="009545B7">
        <w:rPr>
          <w:b/>
          <w:bCs/>
          <w:color w:val="000000" w:themeColor="text1"/>
          <w:sz w:val="20"/>
          <w:szCs w:val="20"/>
        </w:rPr>
        <w:t>3</w:t>
      </w:r>
      <w:r w:rsidRPr="009545B7">
        <w:rPr>
          <w:b/>
          <w:bCs/>
          <w:color w:val="000000" w:themeColor="text1"/>
          <w:sz w:val="20"/>
          <w:szCs w:val="20"/>
        </w:rPr>
        <w:t xml:space="preserve"> – Etapas da Triage</w:t>
      </w:r>
      <w:r w:rsidR="00413B84" w:rsidRPr="009545B7">
        <w:rPr>
          <w:b/>
          <w:bCs/>
          <w:color w:val="000000" w:themeColor="text1"/>
          <w:sz w:val="20"/>
          <w:szCs w:val="20"/>
        </w:rPr>
        <w:t>m</w:t>
      </w:r>
    </w:p>
    <w:p w14:paraId="15642C88" w14:textId="4D4FB3F8" w:rsidR="00BD3D6E" w:rsidRPr="009545B7" w:rsidRDefault="004B5200" w:rsidP="004B5200">
      <w:pPr>
        <w:pStyle w:val="Default"/>
        <w:jc w:val="center"/>
        <w:rPr>
          <w:color w:val="000000" w:themeColor="text1"/>
          <w:sz w:val="28"/>
          <w:szCs w:val="28"/>
        </w:rPr>
      </w:pPr>
      <w:r>
        <w:rPr>
          <w:noProof/>
          <w:color w:val="000000" w:themeColor="text1"/>
          <w:sz w:val="28"/>
          <w:szCs w:val="28"/>
        </w:rPr>
        <w:drawing>
          <wp:inline distT="0" distB="0" distL="0" distR="0" wp14:anchorId="05B80B3D" wp14:editId="5AECA921">
            <wp:extent cx="5414839" cy="4469130"/>
            <wp:effectExtent l="0" t="0" r="0" b="1270"/>
            <wp:docPr id="6" name="Imagem 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abel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5435318" cy="4486032"/>
                    </a:xfrm>
                    <a:prstGeom prst="rect">
                      <a:avLst/>
                    </a:prstGeom>
                  </pic:spPr>
                </pic:pic>
              </a:graphicData>
            </a:graphic>
          </wp:inline>
        </w:drawing>
      </w:r>
    </w:p>
    <w:p w14:paraId="308BC1F9" w14:textId="263D705F" w:rsidR="00842C1F" w:rsidRPr="009545B7" w:rsidRDefault="00842C1F" w:rsidP="004B5200">
      <w:pPr>
        <w:pStyle w:val="Default"/>
        <w:ind w:firstLine="284"/>
        <w:jc w:val="both"/>
        <w:rPr>
          <w:color w:val="000000" w:themeColor="text1"/>
          <w:sz w:val="18"/>
          <w:szCs w:val="18"/>
        </w:rPr>
      </w:pPr>
      <w:r w:rsidRPr="009545B7">
        <w:rPr>
          <w:color w:val="000000" w:themeColor="text1"/>
          <w:sz w:val="18"/>
          <w:szCs w:val="18"/>
        </w:rPr>
        <w:t xml:space="preserve">Fonte: </w:t>
      </w:r>
      <w:r w:rsidR="00167396" w:rsidRPr="009545B7">
        <w:rPr>
          <w:color w:val="000000" w:themeColor="text1"/>
          <w:sz w:val="18"/>
          <w:szCs w:val="18"/>
        </w:rPr>
        <w:t xml:space="preserve">Elaborado </w:t>
      </w:r>
      <w:r w:rsidRPr="009545B7">
        <w:rPr>
          <w:color w:val="000000" w:themeColor="text1"/>
          <w:sz w:val="18"/>
          <w:szCs w:val="18"/>
        </w:rPr>
        <w:t>pelo autor</w:t>
      </w:r>
      <w:r w:rsidR="00167396" w:rsidRPr="009545B7">
        <w:rPr>
          <w:color w:val="000000" w:themeColor="text1"/>
          <w:sz w:val="18"/>
          <w:szCs w:val="18"/>
        </w:rPr>
        <w:t>.</w:t>
      </w:r>
    </w:p>
    <w:p w14:paraId="33FE1BBE" w14:textId="77777777" w:rsidR="008B7124" w:rsidRPr="009545B7" w:rsidRDefault="008B7124" w:rsidP="00730D14">
      <w:pPr>
        <w:pStyle w:val="Default"/>
        <w:jc w:val="both"/>
        <w:rPr>
          <w:color w:val="000000" w:themeColor="text1"/>
          <w:sz w:val="18"/>
          <w:szCs w:val="18"/>
        </w:rPr>
      </w:pPr>
    </w:p>
    <w:p w14:paraId="52106DDE" w14:textId="73F0FBE2" w:rsidR="008B7124" w:rsidRDefault="00842C1F" w:rsidP="008B7124">
      <w:pPr>
        <w:pStyle w:val="Estilo3"/>
        <w:spacing w:before="0"/>
        <w:rPr>
          <w:rFonts w:ascii="Times New Roman" w:hAnsi="Times New Roman" w:cs="Times New Roman"/>
        </w:rPr>
      </w:pPr>
      <w:bookmarkStart w:id="9" w:name="_Toc118763489"/>
      <w:r w:rsidRPr="009545B7">
        <w:rPr>
          <w:rFonts w:ascii="Times New Roman" w:hAnsi="Times New Roman" w:cs="Times New Roman"/>
        </w:rPr>
        <w:t>3.1.3 Inclusão</w:t>
      </w:r>
      <w:bookmarkEnd w:id="9"/>
      <w:r w:rsidRPr="009545B7">
        <w:rPr>
          <w:rFonts w:ascii="Times New Roman" w:hAnsi="Times New Roman" w:cs="Times New Roman"/>
        </w:rPr>
        <w:t xml:space="preserve"> </w:t>
      </w:r>
    </w:p>
    <w:p w14:paraId="7EFBF15A" w14:textId="77777777" w:rsidR="00AF6410" w:rsidRPr="009545B7" w:rsidRDefault="00AF6410" w:rsidP="008B7124">
      <w:pPr>
        <w:pStyle w:val="Estilo3"/>
        <w:spacing w:before="0"/>
        <w:rPr>
          <w:rFonts w:ascii="Times New Roman" w:hAnsi="Times New Roman" w:cs="Times New Roman"/>
        </w:rPr>
      </w:pPr>
    </w:p>
    <w:p w14:paraId="01D04D9F" w14:textId="0A3FAE60" w:rsidR="00301851" w:rsidRPr="009545B7" w:rsidRDefault="00842C1F" w:rsidP="008B712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Na etapa de inclusão, os artigos foram lidos novamente e analisados com base nas seguintes questões de pesquisa: a) foram identificados os princípios de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overnança aplicada ao Setor Público?; b) foram identificadas as dimensões de Transparência?</w:t>
      </w:r>
      <w:r w:rsidR="00301851" w:rsidRPr="009545B7">
        <w:rPr>
          <w:rFonts w:ascii="Times New Roman" w:hAnsi="Times New Roman" w:cs="Times New Roman"/>
          <w:color w:val="000000" w:themeColor="text1"/>
          <w:sz w:val="24"/>
          <w:szCs w:val="24"/>
        </w:rPr>
        <w:t xml:space="preserve">; c) </w:t>
      </w:r>
      <w:r w:rsidRPr="009545B7">
        <w:rPr>
          <w:rFonts w:ascii="Times New Roman" w:hAnsi="Times New Roman" w:cs="Times New Roman"/>
          <w:color w:val="000000" w:themeColor="text1"/>
          <w:sz w:val="24"/>
          <w:szCs w:val="24"/>
        </w:rPr>
        <w:t xml:space="preserve">Como tais dimensões se relacionam ao Setor de Defesa?; e, finalmente, </w:t>
      </w:r>
      <w:r w:rsidR="00301851" w:rsidRPr="009545B7">
        <w:rPr>
          <w:rFonts w:ascii="Times New Roman" w:hAnsi="Times New Roman" w:cs="Times New Roman"/>
          <w:color w:val="000000" w:themeColor="text1"/>
          <w:sz w:val="24"/>
          <w:szCs w:val="24"/>
        </w:rPr>
        <w:t>d</w:t>
      </w:r>
      <w:r w:rsidRPr="009545B7">
        <w:rPr>
          <w:rFonts w:ascii="Times New Roman" w:hAnsi="Times New Roman" w:cs="Times New Roman"/>
          <w:color w:val="000000" w:themeColor="text1"/>
          <w:sz w:val="24"/>
          <w:szCs w:val="24"/>
        </w:rPr>
        <w:t xml:space="preserve">) como a Transparência contribui para a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neste Setor? </w:t>
      </w:r>
    </w:p>
    <w:p w14:paraId="10A74F38" w14:textId="05E7F311" w:rsidR="00305237" w:rsidRDefault="00842C1F" w:rsidP="00E107AD">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O quadro abaixo apresenta as etapas desenvolvidas na pesquisa. Por fim, antes da seleção final do material pesquisado na literatura, e de posse dos 1</w:t>
      </w:r>
      <w:r w:rsidR="00D10D56">
        <w:rPr>
          <w:rFonts w:ascii="Times New Roman" w:hAnsi="Times New Roman" w:cs="Times New Roman"/>
          <w:color w:val="000000" w:themeColor="text1"/>
          <w:sz w:val="24"/>
          <w:szCs w:val="24"/>
        </w:rPr>
        <w:t>4</w:t>
      </w:r>
      <w:r w:rsidRPr="009545B7">
        <w:rPr>
          <w:rFonts w:ascii="Times New Roman" w:hAnsi="Times New Roman" w:cs="Times New Roman"/>
          <w:color w:val="000000" w:themeColor="text1"/>
          <w:sz w:val="24"/>
          <w:szCs w:val="24"/>
        </w:rPr>
        <w:t xml:space="preserve"> artigos selecionados na plataforma acadêmica </w:t>
      </w:r>
      <w:r w:rsidRPr="009545B7">
        <w:rPr>
          <w:rFonts w:ascii="Times New Roman" w:hAnsi="Times New Roman" w:cs="Times New Roman"/>
          <w:i/>
          <w:iCs/>
          <w:color w:val="000000" w:themeColor="text1"/>
          <w:sz w:val="24"/>
          <w:szCs w:val="24"/>
        </w:rPr>
        <w:t>Scopus</w:t>
      </w:r>
      <w:r w:rsidRPr="009545B7">
        <w:rPr>
          <w:rFonts w:ascii="Times New Roman" w:hAnsi="Times New Roman" w:cs="Times New Roman"/>
          <w:color w:val="000000" w:themeColor="text1"/>
          <w:sz w:val="24"/>
          <w:szCs w:val="24"/>
        </w:rPr>
        <w:t xml:space="preserve"> por intermédio do “Método </w:t>
      </w:r>
      <w:r w:rsidRPr="009545B7">
        <w:rPr>
          <w:rFonts w:ascii="Times New Roman" w:hAnsi="Times New Roman" w:cs="Times New Roman"/>
          <w:i/>
          <w:iCs/>
          <w:color w:val="000000" w:themeColor="text1"/>
          <w:sz w:val="24"/>
          <w:szCs w:val="24"/>
        </w:rPr>
        <w:t>PRISMA”</w:t>
      </w:r>
      <w:r w:rsidRPr="009545B7">
        <w:rPr>
          <w:rFonts w:ascii="Times New Roman" w:hAnsi="Times New Roman" w:cs="Times New Roman"/>
          <w:color w:val="000000" w:themeColor="text1"/>
          <w:sz w:val="24"/>
          <w:szCs w:val="24"/>
        </w:rPr>
        <w:t>, houve a inclusão de 1</w:t>
      </w:r>
      <w:r w:rsidR="00301851" w:rsidRPr="009545B7">
        <w:rPr>
          <w:rFonts w:ascii="Times New Roman" w:hAnsi="Times New Roman" w:cs="Times New Roman"/>
          <w:color w:val="000000" w:themeColor="text1"/>
          <w:sz w:val="24"/>
          <w:szCs w:val="24"/>
        </w:rPr>
        <w:t>3</w:t>
      </w:r>
      <w:r w:rsidRPr="009545B7">
        <w:rPr>
          <w:rFonts w:ascii="Times New Roman" w:hAnsi="Times New Roman" w:cs="Times New Roman"/>
          <w:color w:val="000000" w:themeColor="text1"/>
          <w:sz w:val="24"/>
          <w:szCs w:val="24"/>
        </w:rPr>
        <w:t xml:space="preserve"> artigos por meio do “Método Bola de Neve”, o que permitiu a inferência a pesquisadores atuantes na área de Estudos em Defesa</w:t>
      </w:r>
      <w:r w:rsidR="001C17BB">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no caso especifico do Brasil não encontrados na plataforma de pesquisa utilizada. Dessa forma, a seleção final dos artigos, após a revisão sistemática da literatura, utilizando-se da análise de conteúdo resultou em 2</w:t>
      </w:r>
      <w:r w:rsidR="00D10D56">
        <w:rPr>
          <w:rFonts w:ascii="Times New Roman" w:hAnsi="Times New Roman" w:cs="Times New Roman"/>
          <w:color w:val="000000" w:themeColor="text1"/>
          <w:sz w:val="24"/>
          <w:szCs w:val="24"/>
        </w:rPr>
        <w:t>7</w:t>
      </w:r>
      <w:r w:rsidRPr="009545B7">
        <w:rPr>
          <w:rFonts w:ascii="Times New Roman" w:hAnsi="Times New Roman" w:cs="Times New Roman"/>
          <w:color w:val="000000" w:themeColor="text1"/>
          <w:sz w:val="24"/>
          <w:szCs w:val="24"/>
        </w:rPr>
        <w:t xml:space="preserve"> artigos selecionados.</w:t>
      </w:r>
    </w:p>
    <w:p w14:paraId="403555E7" w14:textId="592D5742"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3B795EBC" w14:textId="3A343162"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7F574355" w14:textId="51BEFFB3"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27645E8E" w14:textId="508C2FF9"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2D193AC0" w14:textId="3BEFA2AE"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7340B943" w14:textId="15102732"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27BC535A" w14:textId="7ED66148"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015F1334" w14:textId="377051BC"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6AFC7AB4" w14:textId="72FC35C9"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50A85D86" w14:textId="6618C11C"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5EB52A6F" w14:textId="6729C74D" w:rsidR="00E107AD" w:rsidRDefault="00E107AD" w:rsidP="00E107AD">
      <w:pPr>
        <w:autoSpaceDE w:val="0"/>
        <w:autoSpaceDN w:val="0"/>
        <w:adjustRightInd w:val="0"/>
        <w:spacing w:after="0" w:line="240" w:lineRule="auto"/>
        <w:rPr>
          <w:rFonts w:ascii="Times New Roman" w:hAnsi="Times New Roman" w:cs="Times New Roman"/>
          <w:color w:val="000000" w:themeColor="text1"/>
          <w:sz w:val="24"/>
          <w:szCs w:val="24"/>
        </w:rPr>
      </w:pPr>
    </w:p>
    <w:p w14:paraId="1A02D815" w14:textId="7A02CD08" w:rsidR="00F57610" w:rsidRDefault="00F57610" w:rsidP="00E107AD">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58809E3F" w14:textId="77777777" w:rsidR="00AF6410" w:rsidRPr="00E107AD" w:rsidRDefault="00AF6410" w:rsidP="00E107AD">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5E90AF87" w14:textId="48AB7439" w:rsidR="00842C1F" w:rsidRPr="009545B7" w:rsidRDefault="00842C1F" w:rsidP="0086203C">
      <w:pPr>
        <w:autoSpaceDE w:val="0"/>
        <w:autoSpaceDN w:val="0"/>
        <w:adjustRightInd w:val="0"/>
        <w:spacing w:after="0" w:line="240" w:lineRule="auto"/>
        <w:ind w:firstLine="0"/>
        <w:jc w:val="left"/>
        <w:rPr>
          <w:rFonts w:ascii="Times New Roman" w:hAnsi="Times New Roman" w:cs="Times New Roman"/>
          <w:b/>
          <w:bCs/>
          <w:i/>
          <w:iCs/>
          <w:color w:val="000000" w:themeColor="text1"/>
          <w:sz w:val="20"/>
          <w:szCs w:val="20"/>
        </w:rPr>
      </w:pPr>
      <w:r w:rsidRPr="009545B7">
        <w:rPr>
          <w:rFonts w:ascii="Times New Roman" w:hAnsi="Times New Roman" w:cs="Times New Roman"/>
          <w:b/>
          <w:bCs/>
          <w:color w:val="000000" w:themeColor="text1"/>
          <w:sz w:val="20"/>
          <w:szCs w:val="20"/>
        </w:rPr>
        <w:t xml:space="preserve">Fluxograma 1 – Procedimento Metodológico </w:t>
      </w:r>
      <w:r w:rsidRPr="009545B7">
        <w:rPr>
          <w:rFonts w:ascii="Times New Roman" w:hAnsi="Times New Roman" w:cs="Times New Roman"/>
          <w:b/>
          <w:bCs/>
          <w:i/>
          <w:iCs/>
          <w:color w:val="000000" w:themeColor="text1"/>
          <w:sz w:val="20"/>
          <w:szCs w:val="20"/>
        </w:rPr>
        <w:t>PRISMA</w:t>
      </w:r>
    </w:p>
    <w:p w14:paraId="51B6B3C6" w14:textId="77777777" w:rsidR="007F2D8B" w:rsidRDefault="00A04539" w:rsidP="00A04539">
      <w:pPr>
        <w:autoSpaceDE w:val="0"/>
        <w:autoSpaceDN w:val="0"/>
        <w:adjustRightInd w:val="0"/>
        <w:spacing w:after="0" w:line="240" w:lineRule="auto"/>
        <w:ind w:firstLine="0"/>
        <w:rPr>
          <w:rFonts w:ascii="Times New Roman" w:hAnsi="Times New Roman" w:cs="Times New Roman"/>
          <w:color w:val="000000" w:themeColor="text1"/>
          <w:sz w:val="20"/>
          <w:szCs w:val="20"/>
        </w:rPr>
      </w:pPr>
      <w:r w:rsidRPr="009545B7">
        <w:rPr>
          <w:rFonts w:ascii="Times New Roman" w:hAnsi="Times New Roman" w:cs="Times New Roman"/>
          <w:i/>
          <w:iCs/>
          <w:noProof/>
          <w:color w:val="000000" w:themeColor="text1"/>
          <w:sz w:val="20"/>
          <w:szCs w:val="20"/>
        </w:rPr>
        <w:drawing>
          <wp:inline distT="0" distB="0" distL="0" distR="0" wp14:anchorId="4494C395" wp14:editId="77EA77F5">
            <wp:extent cx="5400040" cy="3227294"/>
            <wp:effectExtent l="0" t="0" r="0" b="0"/>
            <wp:docPr id="19" name="Imagem 19"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Interface gráfica do usuário, Texto, Aplicativ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5461189" cy="3263840"/>
                    </a:xfrm>
                    <a:prstGeom prst="rect">
                      <a:avLst/>
                    </a:prstGeom>
                  </pic:spPr>
                </pic:pic>
              </a:graphicData>
            </a:graphic>
          </wp:inline>
        </w:drawing>
      </w:r>
      <w:r w:rsidR="00842C1F" w:rsidRPr="009545B7">
        <w:rPr>
          <w:rFonts w:ascii="Times New Roman" w:hAnsi="Times New Roman" w:cs="Times New Roman"/>
          <w:color w:val="000000" w:themeColor="text1"/>
          <w:sz w:val="20"/>
          <w:szCs w:val="20"/>
        </w:rPr>
        <w:t xml:space="preserve"> </w:t>
      </w:r>
    </w:p>
    <w:p w14:paraId="64C1303D" w14:textId="30874D8C" w:rsidR="00842C1F" w:rsidRDefault="00A04539" w:rsidP="00A04539">
      <w:pPr>
        <w:autoSpaceDE w:val="0"/>
        <w:autoSpaceDN w:val="0"/>
        <w:adjustRightInd w:val="0"/>
        <w:spacing w:after="0" w:line="240" w:lineRule="auto"/>
        <w:ind w:firstLine="0"/>
        <w:rPr>
          <w:rFonts w:ascii="Times New Roman" w:hAnsi="Times New Roman" w:cs="Times New Roman"/>
          <w:i/>
          <w:iCs/>
          <w:color w:val="000000" w:themeColor="text1"/>
          <w:sz w:val="18"/>
          <w:szCs w:val="18"/>
        </w:rPr>
      </w:pPr>
      <w:r w:rsidRPr="009545B7">
        <w:rPr>
          <w:rFonts w:ascii="Times New Roman" w:hAnsi="Times New Roman" w:cs="Times New Roman"/>
          <w:noProof/>
          <w:color w:val="000000" w:themeColor="text1"/>
          <w:sz w:val="18"/>
          <w:szCs w:val="18"/>
        </w:rPr>
        <w:t xml:space="preserve">Fonte: </w:t>
      </w:r>
      <w:r w:rsidR="005E4B34" w:rsidRPr="009545B7">
        <w:rPr>
          <w:rFonts w:ascii="Times New Roman" w:hAnsi="Times New Roman" w:cs="Times New Roman"/>
          <w:noProof/>
          <w:color w:val="000000" w:themeColor="text1"/>
          <w:sz w:val="18"/>
          <w:szCs w:val="18"/>
        </w:rPr>
        <w:t>Elaborado pelo autor com base no</w:t>
      </w:r>
      <w:r w:rsidRPr="009545B7">
        <w:rPr>
          <w:rFonts w:ascii="Times New Roman" w:hAnsi="Times New Roman" w:cs="Times New Roman"/>
          <w:color w:val="000000" w:themeColor="text1"/>
          <w:sz w:val="18"/>
          <w:szCs w:val="18"/>
        </w:rPr>
        <w:t xml:space="preserve"> PRISMA  </w:t>
      </w:r>
      <w:proofErr w:type="spellStart"/>
      <w:r w:rsidRPr="009545B7">
        <w:rPr>
          <w:rFonts w:ascii="Times New Roman" w:hAnsi="Times New Roman" w:cs="Times New Roman"/>
          <w:color w:val="000000" w:themeColor="text1"/>
          <w:sz w:val="18"/>
          <w:szCs w:val="18"/>
        </w:rPr>
        <w:t>Flow</w:t>
      </w:r>
      <w:proofErr w:type="spellEnd"/>
      <w:r w:rsidRPr="009545B7">
        <w:rPr>
          <w:rFonts w:ascii="Times New Roman" w:hAnsi="Times New Roman" w:cs="Times New Roman"/>
          <w:color w:val="000000" w:themeColor="text1"/>
          <w:sz w:val="18"/>
          <w:szCs w:val="18"/>
        </w:rPr>
        <w:t xml:space="preserve"> </w:t>
      </w:r>
      <w:proofErr w:type="spellStart"/>
      <w:r w:rsidRPr="009545B7">
        <w:rPr>
          <w:rFonts w:ascii="Times New Roman" w:hAnsi="Times New Roman" w:cs="Times New Roman"/>
          <w:color w:val="000000" w:themeColor="text1"/>
          <w:sz w:val="18"/>
          <w:szCs w:val="18"/>
        </w:rPr>
        <w:t>Diagram</w:t>
      </w:r>
      <w:proofErr w:type="spellEnd"/>
      <w:r w:rsidRPr="009545B7">
        <w:rPr>
          <w:rFonts w:ascii="Times New Roman" w:hAnsi="Times New Roman" w:cs="Times New Roman"/>
          <w:color w:val="000000" w:themeColor="text1"/>
          <w:sz w:val="18"/>
          <w:szCs w:val="18"/>
        </w:rPr>
        <w:t xml:space="preserve"> </w:t>
      </w:r>
      <w:r w:rsidR="00842C1F" w:rsidRPr="009545B7">
        <w:rPr>
          <w:rFonts w:ascii="Times New Roman" w:hAnsi="Times New Roman" w:cs="Times New Roman"/>
          <w:color w:val="000000" w:themeColor="text1"/>
          <w:sz w:val="18"/>
          <w:szCs w:val="18"/>
        </w:rPr>
        <w:t>(2020)</w:t>
      </w:r>
      <w:r w:rsidR="005E4B34" w:rsidRPr="009545B7">
        <w:rPr>
          <w:rFonts w:ascii="Times New Roman" w:hAnsi="Times New Roman" w:cs="Times New Roman"/>
          <w:i/>
          <w:iCs/>
          <w:color w:val="000000" w:themeColor="text1"/>
          <w:sz w:val="18"/>
          <w:szCs w:val="18"/>
        </w:rPr>
        <w:t>.</w:t>
      </w:r>
    </w:p>
    <w:p w14:paraId="4E620548" w14:textId="77777777" w:rsidR="00E107AD" w:rsidRPr="009545B7" w:rsidRDefault="00E107AD" w:rsidP="00A04539">
      <w:pPr>
        <w:autoSpaceDE w:val="0"/>
        <w:autoSpaceDN w:val="0"/>
        <w:adjustRightInd w:val="0"/>
        <w:spacing w:after="0" w:line="240" w:lineRule="auto"/>
        <w:ind w:firstLine="0"/>
        <w:rPr>
          <w:rFonts w:ascii="Times New Roman" w:hAnsi="Times New Roman" w:cs="Times New Roman"/>
          <w:i/>
          <w:iCs/>
          <w:color w:val="000000" w:themeColor="text1"/>
          <w:sz w:val="18"/>
          <w:szCs w:val="18"/>
        </w:rPr>
      </w:pPr>
    </w:p>
    <w:p w14:paraId="11047B0A" w14:textId="77777777" w:rsidR="00AF6410" w:rsidRDefault="00842C1F" w:rsidP="00E107AD">
      <w:pPr>
        <w:pStyle w:val="Estilo1"/>
        <w:spacing w:before="0"/>
        <w:rPr>
          <w:rFonts w:ascii="Times New Roman" w:hAnsi="Times New Roman" w:cs="Times New Roman"/>
          <w:color w:val="000000" w:themeColor="text1"/>
        </w:rPr>
      </w:pPr>
      <w:bookmarkStart w:id="10" w:name="_Toc118763490"/>
      <w:r w:rsidRPr="009545B7">
        <w:rPr>
          <w:rFonts w:ascii="Times New Roman" w:hAnsi="Times New Roman" w:cs="Times New Roman"/>
          <w:color w:val="000000" w:themeColor="text1"/>
        </w:rPr>
        <w:t>4 APRESENTA</w:t>
      </w:r>
      <w:r w:rsidR="008B7124" w:rsidRPr="009545B7">
        <w:rPr>
          <w:rFonts w:ascii="Times New Roman" w:hAnsi="Times New Roman" w:cs="Times New Roman"/>
          <w:color w:val="000000" w:themeColor="text1"/>
        </w:rPr>
        <w:t>ÇÃ</w:t>
      </w:r>
      <w:r w:rsidRPr="009545B7">
        <w:rPr>
          <w:rFonts w:ascii="Times New Roman" w:hAnsi="Times New Roman" w:cs="Times New Roman"/>
          <w:color w:val="000000" w:themeColor="text1"/>
        </w:rPr>
        <w:t>O DOS RESULTADOS</w:t>
      </w:r>
      <w:bookmarkEnd w:id="10"/>
    </w:p>
    <w:p w14:paraId="626482E7" w14:textId="1D02D725" w:rsidR="00842C1F" w:rsidRPr="009545B7" w:rsidRDefault="00842C1F" w:rsidP="00E107AD">
      <w:pPr>
        <w:pStyle w:val="Estilo1"/>
        <w:spacing w:before="0"/>
        <w:rPr>
          <w:rFonts w:ascii="Times New Roman" w:hAnsi="Times New Roman" w:cs="Times New Roman"/>
          <w:color w:val="000000" w:themeColor="text1"/>
        </w:rPr>
      </w:pPr>
      <w:r w:rsidRPr="009545B7">
        <w:rPr>
          <w:rFonts w:ascii="Times New Roman" w:hAnsi="Times New Roman" w:cs="Times New Roman"/>
          <w:color w:val="000000" w:themeColor="text1"/>
        </w:rPr>
        <w:t xml:space="preserve"> </w:t>
      </w:r>
    </w:p>
    <w:p w14:paraId="3CDE798B" w14:textId="00370872" w:rsidR="006528CF" w:rsidRPr="009545B7" w:rsidRDefault="00842C1F" w:rsidP="00E107AD">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A partir deste ponto, serão evidenciados, após a compilação, os dados obtidos durante a pesquisa, com o objetivo de responder às questões de estudo do presente trabalho.</w:t>
      </w:r>
    </w:p>
    <w:p w14:paraId="0309760F" w14:textId="15F394D4" w:rsidR="00AF6410" w:rsidRDefault="00842C1F" w:rsidP="00000EC1">
      <w:pPr>
        <w:pStyle w:val="Estilo2"/>
        <w:spacing w:after="0" w:line="240" w:lineRule="auto"/>
        <w:rPr>
          <w:rFonts w:ascii="Times New Roman" w:hAnsi="Times New Roman" w:cs="Times New Roman"/>
          <w:color w:val="000000" w:themeColor="text1"/>
        </w:rPr>
      </w:pPr>
      <w:bookmarkStart w:id="11" w:name="_Toc118763491"/>
      <w:r w:rsidRPr="009545B7">
        <w:rPr>
          <w:rFonts w:ascii="Times New Roman" w:hAnsi="Times New Roman" w:cs="Times New Roman"/>
          <w:color w:val="000000" w:themeColor="text1"/>
        </w:rPr>
        <w:t>4.1 DIMENSÕES DE TRANSPARÊNCIA EM DEFESA</w:t>
      </w:r>
      <w:bookmarkEnd w:id="11"/>
    </w:p>
    <w:p w14:paraId="3CA1566B" w14:textId="77777777" w:rsidR="00AF6410" w:rsidRPr="009545B7" w:rsidRDefault="00AF6410" w:rsidP="00000EC1">
      <w:pPr>
        <w:pStyle w:val="Estilo2"/>
        <w:spacing w:after="0" w:line="240" w:lineRule="auto"/>
        <w:rPr>
          <w:rFonts w:ascii="Times New Roman" w:hAnsi="Times New Roman" w:cs="Times New Roman"/>
          <w:color w:val="000000" w:themeColor="text1"/>
        </w:rPr>
      </w:pPr>
    </w:p>
    <w:p w14:paraId="1209DD56" w14:textId="36033B3D" w:rsidR="00301851" w:rsidRPr="009545B7" w:rsidRDefault="00301851"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Segundo Furtado (2020), tratando-se do estabelecimento de regras de conduta e arranjos institucionais a </w:t>
      </w:r>
      <w:r w:rsidR="00164C5A" w:rsidRPr="009545B7">
        <w:rPr>
          <w:rFonts w:ascii="Times New Roman" w:eastAsia="Times New Roman" w:hAnsi="Times New Roman" w:cs="Times New Roman"/>
          <w:color w:val="000000" w:themeColor="text1"/>
          <w:sz w:val="24"/>
          <w:szCs w:val="24"/>
          <w:lang w:eastAsia="pt-BR"/>
        </w:rPr>
        <w:t>T</w:t>
      </w:r>
      <w:r w:rsidRPr="009545B7">
        <w:rPr>
          <w:rFonts w:ascii="Times New Roman" w:eastAsia="Times New Roman" w:hAnsi="Times New Roman" w:cs="Times New Roman"/>
          <w:color w:val="000000" w:themeColor="text1"/>
          <w:sz w:val="24"/>
          <w:szCs w:val="24"/>
          <w:lang w:eastAsia="pt-BR"/>
        </w:rPr>
        <w:t>ransparência desponta como uma importante característica desejável dentro do espectro da Governança Pública.  Dentro do Setor de Defesa, um menor grau de abertura das organizações pode levar a um grande desperdício de recursos, uma força mal equipada e um grande risco de que as forças militares não operem e atendam ao interesse nacional (PYMAN; FOOT; FLURI, 2008).</w:t>
      </w:r>
    </w:p>
    <w:p w14:paraId="19E080B2" w14:textId="03A30406" w:rsidR="00301851"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eastAsia="Times New Roman" w:hAnsi="Times New Roman" w:cs="Times New Roman"/>
          <w:color w:val="000000" w:themeColor="text1"/>
          <w:sz w:val="24"/>
          <w:szCs w:val="24"/>
          <w:lang w:eastAsia="pt-BR"/>
        </w:rPr>
        <w:t xml:space="preserve">Para Lindsay (2011), apesar de amplamente aceito por acadêmicos como instrumento para incremento da segurança e confiança nas ações governamentais, a </w:t>
      </w:r>
      <w:r w:rsidR="00164C5A" w:rsidRPr="009545B7">
        <w:rPr>
          <w:rFonts w:ascii="Times New Roman" w:eastAsia="Times New Roman" w:hAnsi="Times New Roman" w:cs="Times New Roman"/>
          <w:color w:val="000000" w:themeColor="text1"/>
          <w:sz w:val="24"/>
          <w:szCs w:val="24"/>
          <w:lang w:eastAsia="pt-BR"/>
        </w:rPr>
        <w:t>T</w:t>
      </w:r>
      <w:r w:rsidRPr="009545B7">
        <w:rPr>
          <w:rFonts w:ascii="Times New Roman" w:eastAsia="Times New Roman" w:hAnsi="Times New Roman" w:cs="Times New Roman"/>
          <w:color w:val="000000" w:themeColor="text1"/>
          <w:sz w:val="24"/>
          <w:szCs w:val="24"/>
          <w:lang w:eastAsia="pt-BR"/>
        </w:rPr>
        <w:t>ransparência aplicada ao setor de Defesa representa uma perspectiva ainda difícil para se alcançar em termos práticos, dada sua complexidade.</w:t>
      </w:r>
      <w:r w:rsidRPr="009545B7">
        <w:rPr>
          <w:rFonts w:ascii="Times New Roman" w:hAnsi="Times New Roman" w:cs="Times New Roman"/>
          <w:color w:val="000000" w:themeColor="text1"/>
          <w:sz w:val="24"/>
          <w:szCs w:val="24"/>
        </w:rPr>
        <w:t xml:space="preserve"> </w:t>
      </w:r>
    </w:p>
    <w:p w14:paraId="3A024F12" w14:textId="1D76C5E3" w:rsidR="00730D14" w:rsidRDefault="00842C1F" w:rsidP="0030523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Ainda segundo Lindsay (2011) a definição básica de Transparência em Defesa pode ser expressa conforme abaixo:  </w:t>
      </w:r>
    </w:p>
    <w:p w14:paraId="709246B1" w14:textId="77777777" w:rsidR="00305237" w:rsidRPr="00305237" w:rsidRDefault="00305237" w:rsidP="00305237">
      <w:pPr>
        <w:autoSpaceDE w:val="0"/>
        <w:autoSpaceDN w:val="0"/>
        <w:adjustRightInd w:val="0"/>
        <w:spacing w:after="0" w:line="240" w:lineRule="auto"/>
        <w:rPr>
          <w:rFonts w:ascii="Times New Roman" w:hAnsi="Times New Roman" w:cs="Times New Roman"/>
          <w:color w:val="000000" w:themeColor="text1"/>
          <w:sz w:val="24"/>
          <w:szCs w:val="24"/>
        </w:rPr>
      </w:pPr>
    </w:p>
    <w:p w14:paraId="48CB21A5" w14:textId="77777777" w:rsidR="004B5200" w:rsidRDefault="004B5200" w:rsidP="00730D14">
      <w:pPr>
        <w:pStyle w:val="citacaoabnt"/>
        <w:spacing w:before="0" w:after="0"/>
        <w:ind w:left="2268"/>
        <w:rPr>
          <w:rFonts w:cs="Times New Roman"/>
          <w:color w:val="000000" w:themeColor="text1"/>
          <w:szCs w:val="20"/>
        </w:rPr>
      </w:pPr>
    </w:p>
    <w:p w14:paraId="485507A6" w14:textId="77777777" w:rsidR="004B5200" w:rsidRDefault="004B5200" w:rsidP="00730D14">
      <w:pPr>
        <w:pStyle w:val="citacaoabnt"/>
        <w:spacing w:before="0" w:after="0"/>
        <w:ind w:left="2268"/>
        <w:rPr>
          <w:rFonts w:cs="Times New Roman"/>
          <w:color w:val="000000" w:themeColor="text1"/>
          <w:szCs w:val="20"/>
        </w:rPr>
      </w:pPr>
    </w:p>
    <w:p w14:paraId="18E87B1A" w14:textId="33D68910" w:rsidR="00842C1F" w:rsidRPr="009545B7" w:rsidRDefault="00842C1F" w:rsidP="00730D14">
      <w:pPr>
        <w:pStyle w:val="citacaoabnt"/>
        <w:spacing w:before="0" w:after="0"/>
        <w:ind w:left="2268"/>
        <w:rPr>
          <w:rFonts w:cs="Times New Roman"/>
          <w:color w:val="000000" w:themeColor="text1"/>
          <w:szCs w:val="20"/>
        </w:rPr>
      </w:pPr>
      <w:r w:rsidRPr="009545B7">
        <w:rPr>
          <w:rFonts w:cs="Times New Roman"/>
          <w:color w:val="000000" w:themeColor="text1"/>
          <w:szCs w:val="20"/>
        </w:rPr>
        <w:lastRenderedPageBreak/>
        <w:t>Transparência em Defesa é um processo pelo qual um Estado transmite informações oportunas, relevantes e suficientes, com credibilidade, sobre o poder, as atividades e intenções militares de seu país que permitam outros Estados acessarem a consistência da informação com interesses estratégicos e obrigações institucionais declaradas, reduzindo dessa forma o risco de erros de percepção e cálculo, e, por meio desse processo, construir confiança mútua (LINDSAY, 2011).</w:t>
      </w:r>
    </w:p>
    <w:p w14:paraId="29C7630C" w14:textId="77777777" w:rsidR="00842C1F" w:rsidRPr="009545B7" w:rsidRDefault="00842C1F" w:rsidP="00730D14">
      <w:pPr>
        <w:pStyle w:val="citacaoabnt"/>
        <w:spacing w:before="0" w:after="0"/>
        <w:ind w:left="2268"/>
        <w:rPr>
          <w:rFonts w:cs="Times New Roman"/>
          <w:color w:val="000000" w:themeColor="text1"/>
          <w:szCs w:val="20"/>
        </w:rPr>
      </w:pPr>
    </w:p>
    <w:p w14:paraId="3A8DA373" w14:textId="5A35A457" w:rsidR="00AB679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Tal definição engloba basicamente o processo envolvido na transmissão e compartilhamento de informações entre Estados, contudo, segundo </w:t>
      </w:r>
      <w:proofErr w:type="spellStart"/>
      <w:r w:rsidRPr="009545B7">
        <w:rPr>
          <w:rFonts w:ascii="Times New Roman" w:hAnsi="Times New Roman" w:cs="Times New Roman"/>
          <w:color w:val="000000" w:themeColor="text1"/>
          <w:sz w:val="24"/>
          <w:szCs w:val="24"/>
        </w:rPr>
        <w:t>Cheung</w:t>
      </w:r>
      <w:proofErr w:type="spellEnd"/>
      <w:r w:rsidRPr="009545B7">
        <w:rPr>
          <w:rFonts w:ascii="Times New Roman" w:hAnsi="Times New Roman" w:cs="Times New Roman"/>
          <w:color w:val="000000" w:themeColor="text1"/>
          <w:sz w:val="24"/>
          <w:szCs w:val="24"/>
        </w:rPr>
        <w:t xml:space="preserve">  e Wilson (2014), há de se levar em consideração a abordagem da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quando relacionada às hierarquias e instituições domésticas dos Estados e os sinais e intenções que as práticas de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ocasionam. </w:t>
      </w:r>
    </w:p>
    <w:p w14:paraId="612F8B97" w14:textId="2FF34C4F"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Desse modo, </w:t>
      </w:r>
      <w:proofErr w:type="spellStart"/>
      <w:r w:rsidR="0043149E" w:rsidRPr="009545B7">
        <w:rPr>
          <w:rFonts w:ascii="Times New Roman" w:hAnsi="Times New Roman" w:cs="Times New Roman"/>
          <w:color w:val="000000" w:themeColor="text1"/>
          <w:sz w:val="24"/>
          <w:szCs w:val="24"/>
        </w:rPr>
        <w:t>P</w:t>
      </w:r>
      <w:r w:rsidRPr="009545B7">
        <w:rPr>
          <w:rFonts w:ascii="Times New Roman" w:hAnsi="Times New Roman" w:cs="Times New Roman"/>
          <w:color w:val="000000" w:themeColor="text1"/>
          <w:sz w:val="24"/>
          <w:szCs w:val="24"/>
        </w:rPr>
        <w:t>agliari</w:t>
      </w:r>
      <w:proofErr w:type="spellEnd"/>
      <w:r w:rsidRPr="009545B7">
        <w:rPr>
          <w:rFonts w:ascii="Times New Roman" w:hAnsi="Times New Roman" w:cs="Times New Roman"/>
          <w:color w:val="000000" w:themeColor="text1"/>
          <w:sz w:val="24"/>
          <w:szCs w:val="24"/>
        </w:rPr>
        <w:t xml:space="preserve"> e </w:t>
      </w:r>
      <w:proofErr w:type="spellStart"/>
      <w:r w:rsidRPr="009545B7">
        <w:rPr>
          <w:rFonts w:ascii="Times New Roman" w:hAnsi="Times New Roman" w:cs="Times New Roman"/>
          <w:color w:val="000000" w:themeColor="text1"/>
          <w:sz w:val="24"/>
          <w:szCs w:val="24"/>
        </w:rPr>
        <w:t>Viggiano</w:t>
      </w:r>
      <w:proofErr w:type="spellEnd"/>
      <w:r w:rsidRPr="009545B7">
        <w:rPr>
          <w:rFonts w:ascii="Times New Roman" w:hAnsi="Times New Roman" w:cs="Times New Roman"/>
          <w:color w:val="000000" w:themeColor="text1"/>
          <w:sz w:val="24"/>
          <w:szCs w:val="24"/>
        </w:rPr>
        <w:t xml:space="preserve"> (2020) afirmam que o conceito de Transparência em Defesa funda-se em três dimensões: Normativa, Processual e Institucional. </w:t>
      </w:r>
    </w:p>
    <w:p w14:paraId="11B0F29C" w14:textId="18EFB97B" w:rsidR="00AB679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 dimensão normativa extrapola a ideia de que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implica puramente na troca de informações. A abordagem consiste na troca de informações visando um objetivo maior: o aumento da previsibilidade e estabilidade das relações estatais </w:t>
      </w:r>
      <w:r w:rsidR="00AB679F" w:rsidRPr="009545B7">
        <w:rPr>
          <w:rFonts w:ascii="Times New Roman" w:hAnsi="Times New Roman" w:cs="Times New Roman"/>
          <w:color w:val="000000" w:themeColor="text1"/>
        </w:rPr>
        <w:t>(LINDSAY 2011; CHEUNG e WILSON 2014).</w:t>
      </w:r>
    </w:p>
    <w:p w14:paraId="491DDC89" w14:textId="77777777" w:rsidR="00301851" w:rsidRPr="009545B7" w:rsidRDefault="00301851" w:rsidP="00730D14">
      <w:pPr>
        <w:pStyle w:val="NormalWeb"/>
        <w:spacing w:before="0" w:beforeAutospacing="0" w:after="0" w:afterAutospacing="0"/>
        <w:ind w:firstLine="708"/>
        <w:rPr>
          <w:rFonts w:eastAsiaTheme="minorHAnsi"/>
          <w:color w:val="000000" w:themeColor="text1"/>
          <w:lang w:eastAsia="en-US"/>
        </w:rPr>
      </w:pPr>
      <w:r w:rsidRPr="009545B7">
        <w:rPr>
          <w:rFonts w:eastAsiaTheme="minorHAnsi"/>
          <w:color w:val="000000" w:themeColor="text1"/>
          <w:lang w:eastAsia="en-US"/>
        </w:rPr>
        <w:t>A dimensão processual consiste no reconhecimento de que se trata de medidas e ações de interação de informações compartilhadas pelas partes, que determinam o alcance dessas iniciativas em atender ao objetivo de garantir a estabilidade (CHEUNG e WILSON 2014).</w:t>
      </w:r>
    </w:p>
    <w:p w14:paraId="23BD9F1A" w14:textId="77777777" w:rsidR="00301851" w:rsidRPr="009545B7" w:rsidRDefault="00301851" w:rsidP="00730D14">
      <w:pPr>
        <w:pStyle w:val="NormalWeb"/>
        <w:spacing w:before="0" w:beforeAutospacing="0" w:after="0" w:afterAutospacing="0"/>
        <w:ind w:firstLine="708"/>
        <w:rPr>
          <w:rFonts w:eastAsiaTheme="minorHAnsi"/>
          <w:color w:val="000000" w:themeColor="text1"/>
          <w:lang w:eastAsia="en-US"/>
        </w:rPr>
      </w:pPr>
      <w:r w:rsidRPr="009545B7">
        <w:rPr>
          <w:rFonts w:eastAsiaTheme="minorHAnsi"/>
          <w:color w:val="000000" w:themeColor="text1"/>
          <w:lang w:eastAsia="en-US"/>
        </w:rPr>
        <w:t>Por fim, o aspecto institucional reflete o grau de incorporação dessas medidas nas instâncias domésticas, aos agentes internos ao Estado, tanto no que diz respeito à criação de mecanismos que afiram credibilidade às informações prestadas quanto demonstrem tendências e direcionamentos associados à manutenção e garantia da paz regional (CHEUNG e WILSON 2014).</w:t>
      </w:r>
    </w:p>
    <w:p w14:paraId="3A32B675" w14:textId="4E6D30CF" w:rsidR="00AB679F" w:rsidRPr="009545B7" w:rsidRDefault="00AB679F" w:rsidP="00730D14">
      <w:pPr>
        <w:pStyle w:val="NormalWeb"/>
        <w:spacing w:before="0" w:beforeAutospacing="0" w:after="0" w:afterAutospacing="0"/>
        <w:ind w:firstLine="708"/>
        <w:rPr>
          <w:rFonts w:eastAsiaTheme="minorHAnsi"/>
          <w:color w:val="000000" w:themeColor="text1"/>
          <w:lang w:eastAsia="en-US"/>
        </w:rPr>
      </w:pPr>
      <w:r w:rsidRPr="009545B7">
        <w:rPr>
          <w:rFonts w:eastAsiaTheme="minorHAnsi"/>
          <w:color w:val="000000" w:themeColor="text1"/>
          <w:lang w:eastAsia="en-US"/>
        </w:rPr>
        <w:t>Segundo Almeida (2015), os cidadãos desejam e necessitam</w:t>
      </w:r>
      <w:r w:rsidR="00477A2F" w:rsidRPr="009545B7">
        <w:rPr>
          <w:rFonts w:eastAsiaTheme="minorHAnsi"/>
          <w:color w:val="000000" w:themeColor="text1"/>
          <w:lang w:eastAsia="en-US"/>
        </w:rPr>
        <w:t xml:space="preserve">, por exemplo, </w:t>
      </w:r>
      <w:r w:rsidRPr="009545B7">
        <w:rPr>
          <w:rFonts w:eastAsiaTheme="minorHAnsi"/>
          <w:color w:val="000000" w:themeColor="text1"/>
          <w:lang w:eastAsia="en-US"/>
        </w:rPr>
        <w:t>saber a realidade sobre o uso do dinheiro público, e esse desejo será maior a partir do momento em que houver maior entendimento sobre os assuntos atinentes à Defesa.</w:t>
      </w:r>
    </w:p>
    <w:p w14:paraId="5C539917" w14:textId="77777777" w:rsidR="00AB679F" w:rsidRPr="009545B7" w:rsidRDefault="00AB679F" w:rsidP="00730D14">
      <w:pPr>
        <w:pStyle w:val="NormalWeb"/>
        <w:spacing w:before="0" w:beforeAutospacing="0" w:after="0" w:afterAutospacing="0"/>
        <w:ind w:firstLine="708"/>
        <w:jc w:val="both"/>
        <w:rPr>
          <w:rFonts w:eastAsiaTheme="minorHAnsi"/>
          <w:color w:val="000000" w:themeColor="text1"/>
          <w:lang w:eastAsia="en-US"/>
        </w:rPr>
      </w:pPr>
      <w:r w:rsidRPr="009545B7">
        <w:rPr>
          <w:rFonts w:eastAsiaTheme="minorHAnsi"/>
          <w:color w:val="000000" w:themeColor="text1"/>
          <w:lang w:eastAsia="en-US"/>
        </w:rPr>
        <w:t xml:space="preserve">Contudo, segundo o próprio autor, no contexto das interações domésticas do Estado, a Transparência não deve ser vista apenas como uma exigência dos órgãos responsáveis pelo Controle, mas como uma exigência social sobre o administrador público, denotando, assim, a importância da mentalidade de Defesa. </w:t>
      </w:r>
    </w:p>
    <w:p w14:paraId="61556F97" w14:textId="63F5809B" w:rsidR="00AB679F" w:rsidRPr="009545B7" w:rsidRDefault="00AB679F" w:rsidP="00730D14">
      <w:pPr>
        <w:pStyle w:val="NormalWeb"/>
        <w:spacing w:before="0" w:beforeAutospacing="0" w:after="0" w:afterAutospacing="0"/>
        <w:ind w:firstLine="708"/>
        <w:jc w:val="both"/>
        <w:rPr>
          <w:color w:val="000000" w:themeColor="text1"/>
        </w:rPr>
      </w:pPr>
      <w:r w:rsidRPr="009545B7">
        <w:rPr>
          <w:color w:val="000000" w:themeColor="text1"/>
        </w:rPr>
        <w:t xml:space="preserve">Tal mentalidade, segundo Klaus (2016), será alcançada mediante processo de amadurecimento democrático por parte da sociedade acerca da importância da Transparência Pública. </w:t>
      </w:r>
    </w:p>
    <w:p w14:paraId="38B19C5A" w14:textId="6577EB3E" w:rsidR="00FA1CFD" w:rsidRPr="009545B7" w:rsidRDefault="00AB679F" w:rsidP="005F278B">
      <w:pPr>
        <w:pStyle w:val="NormalWeb"/>
        <w:spacing w:before="0" w:beforeAutospacing="0" w:after="0" w:afterAutospacing="0"/>
        <w:ind w:firstLine="708"/>
        <w:jc w:val="both"/>
        <w:rPr>
          <w:color w:val="000000" w:themeColor="text1"/>
        </w:rPr>
      </w:pPr>
      <w:r w:rsidRPr="009545B7">
        <w:rPr>
          <w:color w:val="000000" w:themeColor="text1"/>
        </w:rPr>
        <w:t xml:space="preserve">Nesse contexto, a Cadeia de Valor do MD presente no Plano de Gestão do Ministério da Defesa (PG-MD-2020-2023) (BRASIL, 2021), apresenta os macroprocessos mais importantes em três dimensões. Identifica-se que o macroprocesso “Governança” abrange o processo “Participação e controle social”, fato que </w:t>
      </w:r>
      <w:r w:rsidR="00477A2F" w:rsidRPr="009545B7">
        <w:rPr>
          <w:color w:val="000000" w:themeColor="text1"/>
        </w:rPr>
        <w:t>reafirma</w:t>
      </w:r>
      <w:r w:rsidRPr="009545B7">
        <w:rPr>
          <w:color w:val="000000" w:themeColor="text1"/>
        </w:rPr>
        <w:t xml:space="preserve"> os posicionamentos de </w:t>
      </w:r>
      <w:proofErr w:type="spellStart"/>
      <w:r w:rsidRPr="009545B7">
        <w:rPr>
          <w:color w:val="000000" w:themeColor="text1"/>
        </w:rPr>
        <w:t>Cheung</w:t>
      </w:r>
      <w:proofErr w:type="spellEnd"/>
      <w:r w:rsidRPr="009545B7">
        <w:rPr>
          <w:color w:val="000000" w:themeColor="text1"/>
        </w:rPr>
        <w:t xml:space="preserve"> e Wilson (2014) e Almeida (2015), corroborando o fato de que além de influenciar o Controle, a Transparência Pública </w:t>
      </w:r>
      <w:r w:rsidR="00477A2F" w:rsidRPr="009545B7">
        <w:rPr>
          <w:color w:val="000000" w:themeColor="text1"/>
        </w:rPr>
        <w:t>reitera</w:t>
      </w:r>
      <w:r w:rsidRPr="009545B7">
        <w:rPr>
          <w:color w:val="000000" w:themeColor="text1"/>
        </w:rPr>
        <w:t xml:space="preserve"> seu papel como via para a aproximação do cidadão dos assuntos sobre Defesa.</w:t>
      </w:r>
    </w:p>
    <w:p w14:paraId="15949064"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23EF280E"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46432E7F"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446F7FAF"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14C43748"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269A45D9"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0626D6AE" w14:textId="6D145A8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40E1EB26" w14:textId="77777777"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66C0A737" w14:textId="0D2D92B6" w:rsidR="001C1C3C" w:rsidRDefault="001C1C3C" w:rsidP="00730D14">
      <w:pPr>
        <w:spacing w:after="0" w:line="240" w:lineRule="auto"/>
        <w:ind w:firstLine="0"/>
        <w:rPr>
          <w:rFonts w:ascii="Times New Roman" w:hAnsi="Times New Roman" w:cs="Times New Roman"/>
          <w:b/>
          <w:bCs/>
          <w:color w:val="000000" w:themeColor="text1"/>
          <w:sz w:val="20"/>
          <w:szCs w:val="20"/>
        </w:rPr>
      </w:pPr>
    </w:p>
    <w:p w14:paraId="5B9E0A9F" w14:textId="77777777" w:rsidR="004B5200" w:rsidRDefault="004B5200" w:rsidP="004B5200">
      <w:pPr>
        <w:spacing w:after="0" w:line="240" w:lineRule="auto"/>
        <w:ind w:firstLine="0"/>
        <w:rPr>
          <w:rFonts w:ascii="Times New Roman" w:hAnsi="Times New Roman" w:cs="Times New Roman"/>
          <w:b/>
          <w:bCs/>
          <w:color w:val="000000" w:themeColor="text1"/>
          <w:sz w:val="20"/>
          <w:szCs w:val="20"/>
        </w:rPr>
      </w:pPr>
    </w:p>
    <w:p w14:paraId="7D50DE63" w14:textId="0113472C" w:rsidR="00AB679F" w:rsidRPr="009545B7" w:rsidRDefault="000214CE" w:rsidP="004B5200">
      <w:pPr>
        <w:spacing w:after="0" w:line="240" w:lineRule="auto"/>
        <w:ind w:firstLine="708"/>
        <w:rPr>
          <w:rFonts w:ascii="Times New Roman" w:hAnsi="Times New Roman" w:cs="Times New Roman"/>
          <w:b/>
          <w:bCs/>
          <w:color w:val="000000" w:themeColor="text1"/>
          <w:sz w:val="20"/>
          <w:szCs w:val="20"/>
        </w:rPr>
      </w:pPr>
      <w:r w:rsidRPr="009545B7">
        <w:rPr>
          <w:rFonts w:ascii="Times New Roman" w:hAnsi="Times New Roman" w:cs="Times New Roman"/>
          <w:b/>
          <w:bCs/>
          <w:color w:val="000000" w:themeColor="text1"/>
          <w:sz w:val="20"/>
          <w:szCs w:val="20"/>
        </w:rPr>
        <w:lastRenderedPageBreak/>
        <w:t xml:space="preserve">Figura </w:t>
      </w:r>
      <w:r w:rsidR="008D318B" w:rsidRPr="009545B7">
        <w:rPr>
          <w:rFonts w:ascii="Times New Roman" w:hAnsi="Times New Roman" w:cs="Times New Roman"/>
          <w:b/>
          <w:bCs/>
          <w:color w:val="000000" w:themeColor="text1"/>
          <w:sz w:val="20"/>
          <w:szCs w:val="20"/>
        </w:rPr>
        <w:t>1</w:t>
      </w:r>
      <w:r w:rsidR="00AB679F" w:rsidRPr="009545B7">
        <w:rPr>
          <w:rFonts w:ascii="Times New Roman" w:hAnsi="Times New Roman" w:cs="Times New Roman"/>
          <w:b/>
          <w:bCs/>
          <w:color w:val="000000" w:themeColor="text1"/>
          <w:sz w:val="20"/>
          <w:szCs w:val="20"/>
        </w:rPr>
        <w:t xml:space="preserve"> </w:t>
      </w:r>
      <w:r w:rsidR="00A65BE2" w:rsidRPr="009545B7">
        <w:rPr>
          <w:rFonts w:ascii="Times New Roman" w:hAnsi="Times New Roman" w:cs="Times New Roman"/>
          <w:b/>
          <w:bCs/>
          <w:color w:val="000000" w:themeColor="text1"/>
          <w:sz w:val="20"/>
          <w:szCs w:val="20"/>
        </w:rPr>
        <w:t xml:space="preserve">– </w:t>
      </w:r>
      <w:r w:rsidR="00AB679F" w:rsidRPr="009545B7">
        <w:rPr>
          <w:rFonts w:ascii="Times New Roman" w:hAnsi="Times New Roman" w:cs="Times New Roman"/>
          <w:b/>
          <w:bCs/>
          <w:color w:val="000000" w:themeColor="text1"/>
          <w:sz w:val="20"/>
          <w:szCs w:val="20"/>
        </w:rPr>
        <w:t>Cadeia de Valor do MD</w:t>
      </w:r>
    </w:p>
    <w:p w14:paraId="57C39767" w14:textId="77777777" w:rsidR="00412132" w:rsidRPr="009545B7" w:rsidRDefault="00AB679F" w:rsidP="00A65BE2">
      <w:pPr>
        <w:autoSpaceDE w:val="0"/>
        <w:autoSpaceDN w:val="0"/>
        <w:adjustRightInd w:val="0"/>
        <w:spacing w:after="0" w:line="240" w:lineRule="auto"/>
        <w:ind w:firstLine="0"/>
        <w:jc w:val="center"/>
        <w:rPr>
          <w:rFonts w:ascii="Times New Roman" w:hAnsi="Times New Roman" w:cs="Times New Roman"/>
          <w:color w:val="000000" w:themeColor="text1"/>
          <w:sz w:val="18"/>
          <w:szCs w:val="18"/>
        </w:rPr>
      </w:pPr>
      <w:r w:rsidRPr="009545B7">
        <w:rPr>
          <w:rFonts w:ascii="Times New Roman" w:hAnsi="Times New Roman" w:cs="Times New Roman"/>
          <w:noProof/>
          <w:color w:val="000000" w:themeColor="text1"/>
        </w:rPr>
        <w:drawing>
          <wp:inline distT="0" distB="0" distL="0" distR="0" wp14:anchorId="69F17AED" wp14:editId="4D1F5FDA">
            <wp:extent cx="4867661" cy="2688452"/>
            <wp:effectExtent l="12700" t="12700" r="9525" b="17145"/>
            <wp:docPr id="3" name="Imagem 1"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Linha do tempo&#10;&#10;Descrição gerada automaticamente"/>
                    <pic:cNvPicPr>
                      <a:picLocks noChangeAspect="1" noChangeArrowheads="1"/>
                    </pic:cNvPicPr>
                  </pic:nvPicPr>
                  <pic:blipFill>
                    <a:blip r:embed="rId12"/>
                    <a:stretch>
                      <a:fillRect/>
                    </a:stretch>
                  </pic:blipFill>
                  <pic:spPr bwMode="auto">
                    <a:xfrm>
                      <a:off x="0" y="0"/>
                      <a:ext cx="4942345" cy="2729701"/>
                    </a:xfrm>
                    <a:prstGeom prst="rect">
                      <a:avLst/>
                    </a:prstGeom>
                    <a:ln>
                      <a:solidFill>
                        <a:schemeClr val="tx1"/>
                      </a:solidFill>
                    </a:ln>
                  </pic:spPr>
                </pic:pic>
              </a:graphicData>
            </a:graphic>
          </wp:inline>
        </w:drawing>
      </w:r>
    </w:p>
    <w:p w14:paraId="12B3365D" w14:textId="10F98D5F" w:rsidR="00842C1F" w:rsidRPr="009545B7" w:rsidRDefault="00AB679F" w:rsidP="00F57610">
      <w:pPr>
        <w:autoSpaceDE w:val="0"/>
        <w:autoSpaceDN w:val="0"/>
        <w:adjustRightInd w:val="0"/>
        <w:spacing w:after="0" w:line="240" w:lineRule="auto"/>
        <w:rPr>
          <w:rFonts w:ascii="Times New Roman" w:hAnsi="Times New Roman" w:cs="Times New Roman"/>
          <w:color w:val="000000" w:themeColor="text1"/>
          <w:sz w:val="20"/>
          <w:szCs w:val="20"/>
        </w:rPr>
      </w:pPr>
      <w:r w:rsidRPr="009545B7">
        <w:rPr>
          <w:rFonts w:ascii="Times New Roman" w:hAnsi="Times New Roman" w:cs="Times New Roman"/>
          <w:color w:val="000000" w:themeColor="text1"/>
          <w:sz w:val="18"/>
          <w:szCs w:val="18"/>
        </w:rPr>
        <w:t>Fonte: Plano de Gestão do Ministério da Defesa (PG-MD-2020-2023) (BRASIL, 2021)</w:t>
      </w:r>
      <w:r w:rsidR="00EE739B" w:rsidRPr="009545B7">
        <w:rPr>
          <w:rFonts w:ascii="Times New Roman" w:hAnsi="Times New Roman" w:cs="Times New Roman"/>
          <w:color w:val="000000" w:themeColor="text1"/>
          <w:sz w:val="18"/>
          <w:szCs w:val="18"/>
        </w:rPr>
        <w:t>.</w:t>
      </w:r>
    </w:p>
    <w:p w14:paraId="7DD8533E" w14:textId="77777777" w:rsidR="00B84AF0" w:rsidRPr="009545B7" w:rsidRDefault="00B84AF0" w:rsidP="00730D14">
      <w:pPr>
        <w:autoSpaceDE w:val="0"/>
        <w:autoSpaceDN w:val="0"/>
        <w:adjustRightInd w:val="0"/>
        <w:spacing w:after="0" w:line="240" w:lineRule="auto"/>
        <w:ind w:firstLine="0"/>
        <w:rPr>
          <w:rFonts w:ascii="Times New Roman" w:eastAsia="Times New Roman" w:hAnsi="Times New Roman" w:cs="Times New Roman"/>
          <w:color w:val="000000" w:themeColor="text1"/>
          <w:sz w:val="24"/>
          <w:szCs w:val="24"/>
          <w:lang w:eastAsia="pt-BR"/>
        </w:rPr>
      </w:pPr>
    </w:p>
    <w:p w14:paraId="40AFA145" w14:textId="2EDD53A2" w:rsidR="001C1C3C" w:rsidRDefault="00842C1F" w:rsidP="007F2D8B">
      <w:pPr>
        <w:pStyle w:val="Estilo2"/>
        <w:spacing w:before="0" w:after="0" w:line="240" w:lineRule="auto"/>
        <w:rPr>
          <w:rFonts w:ascii="Times New Roman" w:hAnsi="Times New Roman" w:cs="Times New Roman"/>
          <w:color w:val="000000" w:themeColor="text1"/>
        </w:rPr>
      </w:pPr>
      <w:bookmarkStart w:id="12" w:name="_Toc118763492"/>
      <w:r w:rsidRPr="009545B7">
        <w:rPr>
          <w:rFonts w:ascii="Times New Roman" w:hAnsi="Times New Roman" w:cs="Times New Roman"/>
          <w:color w:val="000000" w:themeColor="text1"/>
        </w:rPr>
        <w:t>4.2 SETOR DE DEFESA: ESPECIFICIDADES E NECESSIDADE DE SIGILO</w:t>
      </w:r>
      <w:bookmarkEnd w:id="12"/>
    </w:p>
    <w:p w14:paraId="7BDE40CB" w14:textId="77777777" w:rsidR="00AF6410" w:rsidRPr="009545B7" w:rsidRDefault="00AF6410" w:rsidP="007F2D8B">
      <w:pPr>
        <w:pStyle w:val="Estilo2"/>
        <w:spacing w:before="0" w:after="0" w:line="240" w:lineRule="auto"/>
        <w:rPr>
          <w:rFonts w:ascii="Times New Roman" w:hAnsi="Times New Roman" w:cs="Times New Roman"/>
          <w:color w:val="000000" w:themeColor="text1"/>
        </w:rPr>
      </w:pPr>
    </w:p>
    <w:p w14:paraId="750A868B" w14:textId="77777777" w:rsidR="00AB679F" w:rsidRPr="009545B7" w:rsidRDefault="00AB679F" w:rsidP="007F2D8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Ainda segundo Almeida (2015), o problema central consiste em definir o ponto de equilíbrio entre Transparência e Sigilo.  Para o autor, os assuntos militares devem ter seu conteúdo protegido do conhecimento comum. Contudo, não parece adequado, nem ético dentro do contexto da relação Principal-Agente, não permitir que a sociedade saiba quais são os objetivos de defesa que o Estado busca conseguir com os recursos destinados, quase sempre escassos (ALMEIDA, 2015).</w:t>
      </w:r>
    </w:p>
    <w:p w14:paraId="30087F13" w14:textId="2CB7007F" w:rsidR="00AB679F" w:rsidRPr="009545B7" w:rsidRDefault="00AB679F"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O debate sobre Defesa e </w:t>
      </w:r>
      <w:r w:rsidR="00164C5A" w:rsidRPr="009545B7">
        <w:rPr>
          <w:rFonts w:ascii="Times New Roman" w:eastAsia="Times New Roman" w:hAnsi="Times New Roman" w:cs="Times New Roman"/>
          <w:color w:val="000000" w:themeColor="text1"/>
          <w:sz w:val="24"/>
          <w:szCs w:val="24"/>
          <w:lang w:eastAsia="pt-BR"/>
        </w:rPr>
        <w:t>T</w:t>
      </w:r>
      <w:r w:rsidRPr="009545B7">
        <w:rPr>
          <w:rFonts w:ascii="Times New Roman" w:eastAsia="Times New Roman" w:hAnsi="Times New Roman" w:cs="Times New Roman"/>
          <w:color w:val="000000" w:themeColor="text1"/>
          <w:sz w:val="24"/>
          <w:szCs w:val="24"/>
          <w:lang w:eastAsia="pt-BR"/>
        </w:rPr>
        <w:t>ransparência expõe fragilidades relacionadas às atividades dos órgãos da administração pública, bem como dos desafios e diferenças entre eles (FURTADO, 2020). Nesse sentido, para Almeida (2005), através do fomento de processos cada vez mais transparentes, poderá haver um maior entendimento, por parte da sociedade civil, de ações realizadas por parte das Forças Armadas e das Instituições de Defesa.</w:t>
      </w:r>
    </w:p>
    <w:p w14:paraId="66AE359E" w14:textId="07E5F73E" w:rsidR="00AB679F" w:rsidRPr="009545B7" w:rsidRDefault="00AB679F"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Huntington (1996) defende que as forças militares são imprescindíveis  na construção e formação dos Estados, na delimitação de fronteiras territoriais, no desenvolvimento regional, além de se fazerem presentes na modelagem das instituições e dinâmicas do poder político. Silva (202</w:t>
      </w:r>
      <w:r w:rsidR="0043149E" w:rsidRPr="009545B7">
        <w:rPr>
          <w:rFonts w:ascii="Times New Roman" w:eastAsia="Times New Roman" w:hAnsi="Times New Roman" w:cs="Times New Roman"/>
          <w:color w:val="000000" w:themeColor="text1"/>
          <w:sz w:val="24"/>
          <w:szCs w:val="24"/>
          <w:lang w:eastAsia="pt-BR"/>
        </w:rPr>
        <w:t>1</w:t>
      </w:r>
      <w:r w:rsidRPr="009545B7">
        <w:rPr>
          <w:rFonts w:ascii="Times New Roman" w:eastAsia="Times New Roman" w:hAnsi="Times New Roman" w:cs="Times New Roman"/>
          <w:color w:val="000000" w:themeColor="text1"/>
          <w:sz w:val="24"/>
          <w:szCs w:val="24"/>
          <w:lang w:eastAsia="pt-BR"/>
        </w:rPr>
        <w:t xml:space="preserve">) defende que o envolvimento das instituições militares e órgãos de defesa no debate acerca da </w:t>
      </w:r>
      <w:r w:rsidR="00477A2F" w:rsidRPr="009545B7">
        <w:rPr>
          <w:rFonts w:ascii="Times New Roman" w:eastAsia="Times New Roman" w:hAnsi="Times New Roman" w:cs="Times New Roman"/>
          <w:color w:val="000000" w:themeColor="text1"/>
          <w:sz w:val="24"/>
          <w:szCs w:val="24"/>
          <w:lang w:eastAsia="pt-BR"/>
        </w:rPr>
        <w:t>T</w:t>
      </w:r>
      <w:r w:rsidRPr="009545B7">
        <w:rPr>
          <w:rFonts w:ascii="Times New Roman" w:eastAsia="Times New Roman" w:hAnsi="Times New Roman" w:cs="Times New Roman"/>
          <w:color w:val="000000" w:themeColor="text1"/>
          <w:sz w:val="24"/>
          <w:szCs w:val="24"/>
          <w:lang w:eastAsia="pt-BR"/>
        </w:rPr>
        <w:t xml:space="preserve">ransparência </w:t>
      </w:r>
      <w:r w:rsidR="00477A2F" w:rsidRPr="009545B7">
        <w:rPr>
          <w:rFonts w:ascii="Times New Roman" w:eastAsia="Times New Roman" w:hAnsi="Times New Roman" w:cs="Times New Roman"/>
          <w:color w:val="000000" w:themeColor="text1"/>
          <w:sz w:val="24"/>
          <w:szCs w:val="24"/>
          <w:lang w:eastAsia="pt-BR"/>
        </w:rPr>
        <w:t>Pú</w:t>
      </w:r>
      <w:r w:rsidRPr="009545B7">
        <w:rPr>
          <w:rFonts w:ascii="Times New Roman" w:eastAsia="Times New Roman" w:hAnsi="Times New Roman" w:cs="Times New Roman"/>
          <w:color w:val="000000" w:themeColor="text1"/>
          <w:sz w:val="24"/>
          <w:szCs w:val="24"/>
          <w:lang w:eastAsia="pt-BR"/>
        </w:rPr>
        <w:t xml:space="preserve">blica contribui para os avanços em outros setores, uma vez que, estas instituições interferem de forma direta ou indireta, nas relações sociais e no Estado Contemporâneo. </w:t>
      </w:r>
    </w:p>
    <w:p w14:paraId="7D0129E5" w14:textId="7A3D7FF2" w:rsidR="00AB679F" w:rsidRPr="009545B7" w:rsidRDefault="00AB679F"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A visão de Silva (202</w:t>
      </w:r>
      <w:r w:rsidR="0043149E" w:rsidRPr="009545B7">
        <w:rPr>
          <w:rFonts w:ascii="Times New Roman" w:eastAsia="Times New Roman" w:hAnsi="Times New Roman" w:cs="Times New Roman"/>
          <w:color w:val="000000" w:themeColor="text1"/>
          <w:sz w:val="24"/>
          <w:szCs w:val="24"/>
          <w:lang w:eastAsia="pt-BR"/>
        </w:rPr>
        <w:t>1</w:t>
      </w:r>
      <w:r w:rsidRPr="009545B7">
        <w:rPr>
          <w:rFonts w:ascii="Times New Roman" w:eastAsia="Times New Roman" w:hAnsi="Times New Roman" w:cs="Times New Roman"/>
          <w:color w:val="000000" w:themeColor="text1"/>
          <w:sz w:val="24"/>
          <w:szCs w:val="24"/>
          <w:lang w:eastAsia="pt-BR"/>
        </w:rPr>
        <w:t>) vai ao encontro do que Huntington (1996) propõe, no que se refere a importância do Setor de Defesa. Para o autor, o setor manteve-se afastado de discussões da política nacional, marcado por uma indevida associação entre Defesa, bem público essencial a ser fornecido à sociedade, e militarismo (HUNTINGTON, 1996).</w:t>
      </w:r>
    </w:p>
    <w:p w14:paraId="57EDC7E6" w14:textId="1E96419D" w:rsidR="00AB679F" w:rsidRPr="009545B7" w:rsidRDefault="00AB679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Contudo, para </w:t>
      </w:r>
      <w:proofErr w:type="spellStart"/>
      <w:r w:rsidRPr="009545B7">
        <w:rPr>
          <w:rFonts w:ascii="Times New Roman" w:hAnsi="Times New Roman" w:cs="Times New Roman"/>
          <w:color w:val="000000" w:themeColor="text1"/>
          <w:sz w:val="24"/>
          <w:szCs w:val="24"/>
        </w:rPr>
        <w:t>Heide</w:t>
      </w:r>
      <w:proofErr w:type="spellEnd"/>
      <w:r w:rsidRPr="009545B7">
        <w:rPr>
          <w:rFonts w:ascii="Times New Roman" w:hAnsi="Times New Roman" w:cs="Times New Roman"/>
          <w:color w:val="000000" w:themeColor="text1"/>
          <w:sz w:val="24"/>
          <w:szCs w:val="24"/>
        </w:rPr>
        <w:t xml:space="preserve"> (2022), o sigilo constitui uma problemática persistente nos estudos sobre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e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Seguindo esta linha de pensamento, para Bell e </w:t>
      </w:r>
      <w:proofErr w:type="spellStart"/>
      <w:r w:rsidRPr="009545B7">
        <w:rPr>
          <w:rFonts w:ascii="Times New Roman" w:hAnsi="Times New Roman" w:cs="Times New Roman"/>
          <w:color w:val="000000" w:themeColor="text1"/>
          <w:sz w:val="24"/>
          <w:szCs w:val="24"/>
        </w:rPr>
        <w:t>Machain</w:t>
      </w:r>
      <w:proofErr w:type="spellEnd"/>
      <w:r w:rsidRPr="009545B7">
        <w:rPr>
          <w:rFonts w:ascii="Times New Roman" w:hAnsi="Times New Roman" w:cs="Times New Roman"/>
          <w:color w:val="000000" w:themeColor="text1"/>
          <w:sz w:val="24"/>
          <w:szCs w:val="24"/>
        </w:rPr>
        <w:t xml:space="preserve"> (2018), o sigilo representa uma das exceções 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embutindo-se na ideia realista de que a segurança é um valor social abrangente e considerada uma pré-condição para a própria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overnança.</w:t>
      </w:r>
    </w:p>
    <w:p w14:paraId="1EEDB4C3" w14:textId="77777777" w:rsidR="00AB679F" w:rsidRPr="009545B7" w:rsidRDefault="00AB679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Costas e Grey (2014), defendem o sigilo, considerando-o legítimo, uma vez que sua execução, visa a proteger informações que possam representar ameaças à segurança da nação, comprometendo sua defesa ou a condução de suas relações externas. Internamente,  o interesse </w:t>
      </w:r>
      <w:r w:rsidRPr="009545B7">
        <w:rPr>
          <w:rFonts w:ascii="Times New Roman" w:hAnsi="Times New Roman" w:cs="Times New Roman"/>
          <w:color w:val="000000" w:themeColor="text1"/>
          <w:sz w:val="24"/>
          <w:szCs w:val="24"/>
        </w:rPr>
        <w:lastRenderedPageBreak/>
        <w:t>público é atendido quando esse tipo de informação permanece seguro (HEIDE, 2022; DOBSON, 2019).</w:t>
      </w:r>
    </w:p>
    <w:p w14:paraId="4712CEE8" w14:textId="123BE5DB" w:rsidR="00AB679F" w:rsidRPr="009545B7" w:rsidRDefault="00AB679F"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Para Almeida (2015), o MD deve comprometer-se com a justificação de suas despesas de forma mais  intensa do que outros setores governamentais. Segundo o autor, trata-se de uma característica intimamente associada à alta especificidade, à baixa visibilidade e à necessidade de justificação de modo a demonstrar a imprescindibilidade da Defesa ao meio civil. </w:t>
      </w:r>
    </w:p>
    <w:p w14:paraId="5D221CCA" w14:textId="012445F0" w:rsidR="00AB679F" w:rsidRPr="009545B7" w:rsidRDefault="00AB679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Para </w:t>
      </w:r>
      <w:proofErr w:type="spellStart"/>
      <w:r w:rsidRPr="009545B7">
        <w:rPr>
          <w:rFonts w:ascii="Times New Roman" w:hAnsi="Times New Roman" w:cs="Times New Roman"/>
          <w:color w:val="000000" w:themeColor="text1"/>
          <w:sz w:val="24"/>
          <w:szCs w:val="24"/>
        </w:rPr>
        <w:t>Heide</w:t>
      </w:r>
      <w:proofErr w:type="spellEnd"/>
      <w:r w:rsidRPr="009545B7">
        <w:rPr>
          <w:rFonts w:ascii="Times New Roman" w:hAnsi="Times New Roman" w:cs="Times New Roman"/>
          <w:color w:val="000000" w:themeColor="text1"/>
          <w:sz w:val="24"/>
          <w:szCs w:val="24"/>
        </w:rPr>
        <w:t xml:space="preserve"> e Villeneuve (2020), no contexto da Governança Pública</w:t>
      </w:r>
      <w:r w:rsidR="004B5200">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mais especificamente na Governança em Defesa</w:t>
      </w:r>
      <w:r w:rsidR="004B5200">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o sigilo tem papel fundamental no sentido de proteger processos democráticos e implementar políticas. Para os autores, as políticas e ações atinentes ao Setor de Defesa, sem a prática do sigilo, podem não ser realizadas de forma eficaz ou em sua completude.</w:t>
      </w:r>
    </w:p>
    <w:p w14:paraId="00C885A0" w14:textId="5F3A5D82" w:rsidR="00842C1F" w:rsidRPr="009545B7" w:rsidRDefault="00AB679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 </w:t>
      </w:r>
      <w:r w:rsidR="00842C1F" w:rsidRPr="009545B7">
        <w:rPr>
          <w:rFonts w:ascii="Times New Roman" w:hAnsi="Times New Roman" w:cs="Times New Roman"/>
          <w:color w:val="000000" w:themeColor="text1"/>
          <w:sz w:val="24"/>
          <w:szCs w:val="24"/>
        </w:rPr>
        <w:t xml:space="preserve">Segundo </w:t>
      </w:r>
      <w:proofErr w:type="spellStart"/>
      <w:r w:rsidR="00842C1F" w:rsidRPr="009545B7">
        <w:rPr>
          <w:rFonts w:ascii="Times New Roman" w:hAnsi="Times New Roman" w:cs="Times New Roman"/>
          <w:color w:val="000000" w:themeColor="text1"/>
          <w:sz w:val="24"/>
          <w:szCs w:val="24"/>
        </w:rPr>
        <w:t>Barnard-Wills</w:t>
      </w:r>
      <w:proofErr w:type="spellEnd"/>
      <w:r w:rsidR="00842C1F" w:rsidRPr="009545B7">
        <w:rPr>
          <w:rFonts w:ascii="Times New Roman" w:hAnsi="Times New Roman" w:cs="Times New Roman"/>
          <w:color w:val="000000" w:themeColor="text1"/>
          <w:sz w:val="24"/>
          <w:szCs w:val="24"/>
        </w:rPr>
        <w:t xml:space="preserve"> (2013), a proteção das informações do setor público é convencionalmente alcançada por intermédio  da classificação de documentos, marcando suas especificidades e padrões de acesso. Nesse contexto, concede-se acesso apenas àqueles que possuem “necessidade de saber” sobre determinando assunto para desempenhar alguma tarefa (HEIDE E VILLENEUVE, 2020).</w:t>
      </w:r>
    </w:p>
    <w:p w14:paraId="2B110694" w14:textId="4C79249E" w:rsidR="009119ED" w:rsidRPr="009545B7" w:rsidRDefault="00A1018A" w:rsidP="00A65BE2">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Furtado (2020),  a</w:t>
      </w:r>
      <w:r w:rsidR="00842C1F" w:rsidRPr="009545B7">
        <w:rPr>
          <w:rFonts w:ascii="Times New Roman" w:hAnsi="Times New Roman" w:cs="Times New Roman"/>
          <w:color w:val="000000" w:themeColor="text1"/>
          <w:sz w:val="24"/>
          <w:szCs w:val="24"/>
        </w:rPr>
        <w:t xml:space="preserve">o destrinchar o conceito de Transparência, apresenta um modelo conceitual visando avaliar a </w:t>
      </w:r>
      <w:r w:rsidR="00164C5A" w:rsidRPr="009545B7">
        <w:rPr>
          <w:rFonts w:ascii="Times New Roman" w:hAnsi="Times New Roman" w:cs="Times New Roman"/>
          <w:color w:val="000000" w:themeColor="text1"/>
          <w:sz w:val="24"/>
          <w:szCs w:val="24"/>
        </w:rPr>
        <w:t>T</w:t>
      </w:r>
      <w:r w:rsidR="00842C1F" w:rsidRPr="009545B7">
        <w:rPr>
          <w:rFonts w:ascii="Times New Roman" w:hAnsi="Times New Roman" w:cs="Times New Roman"/>
          <w:color w:val="000000" w:themeColor="text1"/>
          <w:sz w:val="24"/>
          <w:szCs w:val="24"/>
        </w:rPr>
        <w:t xml:space="preserve">ransparência como um grau possível de provimento de informações de acordo com a realidade de cada instituição e tipo de política. A autora sugere quatro subtipos para o conceito, conforme exemplificado abaixo: </w:t>
      </w:r>
    </w:p>
    <w:p w14:paraId="4FE6DB25" w14:textId="77777777" w:rsidR="009119ED" w:rsidRPr="009545B7" w:rsidRDefault="009119ED" w:rsidP="009119ED">
      <w:pPr>
        <w:autoSpaceDE w:val="0"/>
        <w:autoSpaceDN w:val="0"/>
        <w:adjustRightInd w:val="0"/>
        <w:spacing w:after="0" w:line="240" w:lineRule="auto"/>
        <w:ind w:firstLine="0"/>
        <w:rPr>
          <w:rFonts w:ascii="Times New Roman" w:hAnsi="Times New Roman" w:cs="Times New Roman"/>
          <w:b/>
          <w:bCs/>
          <w:color w:val="000000" w:themeColor="text1"/>
        </w:rPr>
      </w:pPr>
    </w:p>
    <w:p w14:paraId="4CA94167" w14:textId="0D8EC146" w:rsidR="00842C1F" w:rsidRPr="009545B7" w:rsidRDefault="00A65BE2" w:rsidP="00F57610">
      <w:pPr>
        <w:autoSpaceDE w:val="0"/>
        <w:autoSpaceDN w:val="0"/>
        <w:adjustRightInd w:val="0"/>
        <w:spacing w:after="0" w:line="240" w:lineRule="auto"/>
        <w:ind w:left="708" w:firstLine="852"/>
        <w:rPr>
          <w:rFonts w:ascii="Times New Roman" w:hAnsi="Times New Roman" w:cs="Times New Roman"/>
          <w:b/>
          <w:bCs/>
          <w:color w:val="000000" w:themeColor="text1"/>
          <w:sz w:val="20"/>
          <w:szCs w:val="20"/>
        </w:rPr>
      </w:pPr>
      <w:r w:rsidRPr="009545B7">
        <w:rPr>
          <w:rFonts w:ascii="Times New Roman" w:hAnsi="Times New Roman" w:cs="Times New Roman"/>
          <w:b/>
          <w:bCs/>
          <w:color w:val="000000" w:themeColor="text1"/>
          <w:sz w:val="20"/>
          <w:szCs w:val="20"/>
        </w:rPr>
        <w:t>Figura</w:t>
      </w:r>
      <w:r w:rsidR="00842C1F" w:rsidRPr="009545B7">
        <w:rPr>
          <w:rFonts w:ascii="Times New Roman" w:hAnsi="Times New Roman" w:cs="Times New Roman"/>
          <w:b/>
          <w:bCs/>
          <w:color w:val="000000" w:themeColor="text1"/>
          <w:sz w:val="20"/>
          <w:szCs w:val="20"/>
        </w:rPr>
        <w:t xml:space="preserve"> </w:t>
      </w:r>
      <w:r w:rsidR="008D318B" w:rsidRPr="009545B7">
        <w:rPr>
          <w:rFonts w:ascii="Times New Roman" w:hAnsi="Times New Roman" w:cs="Times New Roman"/>
          <w:b/>
          <w:bCs/>
          <w:color w:val="000000" w:themeColor="text1"/>
          <w:sz w:val="20"/>
          <w:szCs w:val="20"/>
        </w:rPr>
        <w:t>2</w:t>
      </w:r>
      <w:r w:rsidR="00842C1F" w:rsidRPr="009545B7">
        <w:rPr>
          <w:rFonts w:ascii="Times New Roman" w:hAnsi="Times New Roman" w:cs="Times New Roman"/>
          <w:b/>
          <w:bCs/>
          <w:color w:val="000000" w:themeColor="text1"/>
          <w:sz w:val="20"/>
          <w:szCs w:val="20"/>
        </w:rPr>
        <w:t xml:space="preserve"> – Subtipos de Transparência</w:t>
      </w:r>
    </w:p>
    <w:p w14:paraId="61DCE708" w14:textId="77777777" w:rsidR="00FA778C" w:rsidRPr="009545B7" w:rsidRDefault="00842C1F" w:rsidP="00B84AF0">
      <w:pPr>
        <w:autoSpaceDE w:val="0"/>
        <w:autoSpaceDN w:val="0"/>
        <w:adjustRightInd w:val="0"/>
        <w:spacing w:after="0" w:line="240" w:lineRule="auto"/>
        <w:ind w:firstLine="1"/>
        <w:jc w:val="center"/>
        <w:rPr>
          <w:rFonts w:ascii="Times New Roman" w:hAnsi="Times New Roman" w:cs="Times New Roman"/>
          <w:color w:val="000000" w:themeColor="text1"/>
        </w:rPr>
      </w:pPr>
      <w:r w:rsidRPr="009545B7">
        <w:rPr>
          <w:rFonts w:ascii="Times New Roman" w:hAnsi="Times New Roman" w:cs="Times New Roman"/>
          <w:color w:val="000000" w:themeColor="text1"/>
        </w:rPr>
        <w:fldChar w:fldCharType="begin"/>
      </w:r>
      <w:r w:rsidRPr="009545B7">
        <w:rPr>
          <w:rFonts w:ascii="Times New Roman" w:hAnsi="Times New Roman" w:cs="Times New Roman"/>
          <w:color w:val="000000" w:themeColor="text1"/>
        </w:rPr>
        <w:instrText xml:space="preserve"> INCLUDEPICTURE "https://documents.lucid.app/documents/02a23bf9-a5f3-474d-9c2c-aaba799ed9a3/pages/0_0?a=729&amp;x=338&amp;y=63&amp;w=1086&amp;h=813&amp;store=1&amp;accept=image%2F*&amp;auth=LCA%20271aaa7704dd687bbe8c951ba11b41acf751fcb3-ts%3D1667347164" \* MERGEFORMATINET </w:instrText>
      </w:r>
      <w:r w:rsidRPr="009545B7">
        <w:rPr>
          <w:rFonts w:ascii="Times New Roman" w:hAnsi="Times New Roman" w:cs="Times New Roman"/>
          <w:color w:val="000000" w:themeColor="text1"/>
        </w:rPr>
        <w:fldChar w:fldCharType="separate"/>
      </w:r>
      <w:r w:rsidRPr="009545B7">
        <w:rPr>
          <w:rFonts w:ascii="Times New Roman" w:hAnsi="Times New Roman" w:cs="Times New Roman"/>
          <w:noProof/>
          <w:color w:val="000000" w:themeColor="text1"/>
        </w:rPr>
        <w:drawing>
          <wp:inline distT="0" distB="0" distL="0" distR="0" wp14:anchorId="733127C1" wp14:editId="13654B17">
            <wp:extent cx="3703918" cy="2772528"/>
            <wp:effectExtent l="25400" t="25400" r="30480" b="21590"/>
            <wp:docPr id="16" name="Imagem 1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Diagrama&#10;&#10;Descrição gerad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9637" cy="2874119"/>
                    </a:xfrm>
                    <a:prstGeom prst="rect">
                      <a:avLst/>
                    </a:prstGeom>
                    <a:noFill/>
                    <a:ln w="25400">
                      <a:solidFill>
                        <a:schemeClr val="tx1"/>
                      </a:solidFill>
                    </a:ln>
                    <a:effectLst/>
                  </pic:spPr>
                </pic:pic>
              </a:graphicData>
            </a:graphic>
          </wp:inline>
        </w:drawing>
      </w:r>
      <w:r w:rsidRPr="009545B7">
        <w:rPr>
          <w:rFonts w:ascii="Times New Roman" w:hAnsi="Times New Roman" w:cs="Times New Roman"/>
          <w:color w:val="000000" w:themeColor="text1"/>
        </w:rPr>
        <w:fldChar w:fldCharType="end"/>
      </w:r>
    </w:p>
    <w:p w14:paraId="4D24546A" w14:textId="46BA767D" w:rsidR="0086203C" w:rsidRPr="009545B7" w:rsidRDefault="0056672F" w:rsidP="00F57610">
      <w:pPr>
        <w:autoSpaceDE w:val="0"/>
        <w:autoSpaceDN w:val="0"/>
        <w:adjustRightInd w:val="0"/>
        <w:spacing w:after="0" w:line="240" w:lineRule="auto"/>
        <w:ind w:left="708" w:firstLine="852"/>
        <w:rPr>
          <w:rFonts w:ascii="Times New Roman" w:hAnsi="Times New Roman" w:cs="Times New Roman"/>
          <w:color w:val="000000" w:themeColor="text1"/>
          <w:sz w:val="18"/>
          <w:szCs w:val="18"/>
        </w:rPr>
      </w:pPr>
      <w:r w:rsidRPr="009545B7">
        <w:rPr>
          <w:rFonts w:ascii="Times New Roman" w:hAnsi="Times New Roman" w:cs="Times New Roman"/>
          <w:color w:val="000000" w:themeColor="text1"/>
          <w:sz w:val="18"/>
          <w:szCs w:val="18"/>
        </w:rPr>
        <w:t>Fonte</w:t>
      </w:r>
      <w:r w:rsidR="00842C1F" w:rsidRPr="009545B7">
        <w:rPr>
          <w:rFonts w:ascii="Times New Roman" w:hAnsi="Times New Roman" w:cs="Times New Roman"/>
          <w:color w:val="000000" w:themeColor="text1"/>
          <w:sz w:val="18"/>
          <w:szCs w:val="18"/>
        </w:rPr>
        <w:t>: Adaptação feita pelo autor a partir de Furtado (2020)</w:t>
      </w:r>
      <w:r w:rsidR="00730D14" w:rsidRPr="009545B7">
        <w:rPr>
          <w:rFonts w:ascii="Times New Roman" w:hAnsi="Times New Roman" w:cs="Times New Roman"/>
          <w:color w:val="000000" w:themeColor="text1"/>
          <w:sz w:val="18"/>
          <w:szCs w:val="18"/>
        </w:rPr>
        <w:t>.</w:t>
      </w:r>
    </w:p>
    <w:p w14:paraId="6596222C" w14:textId="77777777" w:rsidR="00FA778C" w:rsidRPr="009545B7" w:rsidRDefault="00FA778C" w:rsidP="00FA778C">
      <w:pPr>
        <w:autoSpaceDE w:val="0"/>
        <w:autoSpaceDN w:val="0"/>
        <w:adjustRightInd w:val="0"/>
        <w:spacing w:after="0" w:line="240" w:lineRule="auto"/>
        <w:ind w:left="708" w:firstLine="1"/>
        <w:rPr>
          <w:rFonts w:ascii="Times New Roman" w:hAnsi="Times New Roman" w:cs="Times New Roman"/>
          <w:color w:val="000000" w:themeColor="text1"/>
        </w:rPr>
      </w:pPr>
    </w:p>
    <w:p w14:paraId="02707DC8" w14:textId="3C60AA73" w:rsidR="00A1018A" w:rsidRPr="009545B7" w:rsidRDefault="00A1018A"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Segundo a autora, 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w:t>
      </w:r>
      <w:r w:rsidR="002939C5" w:rsidRPr="009545B7">
        <w:rPr>
          <w:rFonts w:ascii="Times New Roman" w:hAnsi="Times New Roman" w:cs="Times New Roman"/>
          <w:color w:val="000000" w:themeColor="text1"/>
          <w:sz w:val="24"/>
          <w:szCs w:val="24"/>
        </w:rPr>
        <w:t>na</w:t>
      </w:r>
      <w:r w:rsidRPr="009545B7">
        <w:rPr>
          <w:rFonts w:ascii="Times New Roman" w:hAnsi="Times New Roman" w:cs="Times New Roman"/>
          <w:color w:val="000000" w:themeColor="text1"/>
          <w:sz w:val="24"/>
          <w:szCs w:val="24"/>
        </w:rPr>
        <w:t xml:space="preserve"> gestão do sigilo </w:t>
      </w:r>
      <w:r w:rsidR="002939C5" w:rsidRPr="009545B7">
        <w:rPr>
          <w:rFonts w:ascii="Times New Roman" w:hAnsi="Times New Roman" w:cs="Times New Roman"/>
          <w:color w:val="000000" w:themeColor="text1"/>
          <w:sz w:val="24"/>
          <w:szCs w:val="24"/>
        </w:rPr>
        <w:t>ocorre</w:t>
      </w:r>
      <w:r w:rsidRPr="009545B7">
        <w:rPr>
          <w:rFonts w:ascii="Times New Roman" w:hAnsi="Times New Roman" w:cs="Times New Roman"/>
          <w:color w:val="000000" w:themeColor="text1"/>
          <w:sz w:val="24"/>
          <w:szCs w:val="24"/>
        </w:rPr>
        <w:t xml:space="preserve"> </w:t>
      </w:r>
      <w:r w:rsidR="002939C5" w:rsidRPr="009545B7">
        <w:rPr>
          <w:rFonts w:ascii="Times New Roman" w:hAnsi="Times New Roman" w:cs="Times New Roman"/>
          <w:color w:val="000000" w:themeColor="text1"/>
          <w:sz w:val="24"/>
          <w:szCs w:val="24"/>
        </w:rPr>
        <w:t>quando</w:t>
      </w:r>
      <w:r w:rsidRPr="009545B7">
        <w:rPr>
          <w:rFonts w:ascii="Times New Roman" w:hAnsi="Times New Roman" w:cs="Times New Roman"/>
          <w:color w:val="000000" w:themeColor="text1"/>
          <w:sz w:val="24"/>
          <w:szCs w:val="24"/>
        </w:rPr>
        <w:t xml:space="preserve"> políticas públicas democraticamente legítimas necessit</w:t>
      </w:r>
      <w:r w:rsidR="002939C5" w:rsidRPr="009545B7">
        <w:rPr>
          <w:rFonts w:ascii="Times New Roman" w:hAnsi="Times New Roman" w:cs="Times New Roman"/>
          <w:color w:val="000000" w:themeColor="text1"/>
          <w:sz w:val="24"/>
          <w:szCs w:val="24"/>
        </w:rPr>
        <w:t>a</w:t>
      </w:r>
      <w:r w:rsidRPr="009545B7">
        <w:rPr>
          <w:rFonts w:ascii="Times New Roman" w:hAnsi="Times New Roman" w:cs="Times New Roman"/>
          <w:color w:val="000000" w:themeColor="text1"/>
          <w:sz w:val="24"/>
          <w:szCs w:val="24"/>
        </w:rPr>
        <w:t xml:space="preserve">m do segredo para acontecer. </w:t>
      </w:r>
      <w:r w:rsidR="002939C5" w:rsidRPr="009545B7">
        <w:rPr>
          <w:rFonts w:ascii="Times New Roman" w:hAnsi="Times New Roman" w:cs="Times New Roman"/>
          <w:color w:val="000000" w:themeColor="text1"/>
          <w:sz w:val="24"/>
          <w:szCs w:val="24"/>
        </w:rPr>
        <w:t>As instituições de Defesa se enquadram nessa cinemática</w:t>
      </w:r>
      <w:r w:rsidRPr="009545B7">
        <w:rPr>
          <w:rFonts w:ascii="Times New Roman" w:hAnsi="Times New Roman" w:cs="Times New Roman"/>
          <w:color w:val="000000" w:themeColor="text1"/>
          <w:sz w:val="24"/>
          <w:szCs w:val="24"/>
        </w:rPr>
        <w:t>.</w:t>
      </w:r>
    </w:p>
    <w:p w14:paraId="30961B94" w14:textId="0804D529" w:rsidR="00A1018A" w:rsidRPr="009545B7" w:rsidRDefault="00A1018A"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Segundo essa abordagem, especificamente em relação ao Setor de Defesa, a questão gravita ao redor da busca por equilíbrio entre a necessidade da Transparência Pública e o sigilo. Este é característico de muitos assuntos militares, contudo, a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é fundamental para a garantia da eficácia e eficiência no uso do erário público e, principalmente, na consecução das politicas públicas (Furtado, 2020). </w:t>
      </w:r>
    </w:p>
    <w:p w14:paraId="2D274C87" w14:textId="45D22D29" w:rsidR="00842C1F" w:rsidRDefault="00A1018A"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Corroborando este entendimento, para Almeida (2005), o MD apresenta significativa tendência a um natural fechamento, uma vez que já se encontra, normalmente, permeado por uma necessidade de sigilo. Entretanto, segundo indicadores, o grau de </w:t>
      </w:r>
      <w:r w:rsidR="00164C5A"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no Setor </w:t>
      </w:r>
      <w:r w:rsidRPr="009545B7">
        <w:rPr>
          <w:rFonts w:ascii="Times New Roman" w:hAnsi="Times New Roman" w:cs="Times New Roman"/>
          <w:color w:val="000000" w:themeColor="text1"/>
          <w:sz w:val="24"/>
          <w:szCs w:val="24"/>
        </w:rPr>
        <w:lastRenderedPageBreak/>
        <w:t>de Defesa, no caso brasileiro, apresenta evolução, abandonando, gradualmente, seu histórico enquadramento de opacidade em relação ao fornecimento de informações à Sociedade Civil.</w:t>
      </w:r>
    </w:p>
    <w:p w14:paraId="2B1B6A18" w14:textId="77777777" w:rsidR="007F2D8B" w:rsidRPr="009545B7" w:rsidRDefault="007F2D8B" w:rsidP="00730D14">
      <w:pPr>
        <w:autoSpaceDE w:val="0"/>
        <w:autoSpaceDN w:val="0"/>
        <w:adjustRightInd w:val="0"/>
        <w:spacing w:after="0" w:line="240" w:lineRule="auto"/>
        <w:rPr>
          <w:rFonts w:ascii="Times New Roman" w:hAnsi="Times New Roman" w:cs="Times New Roman"/>
          <w:color w:val="000000" w:themeColor="text1"/>
          <w:sz w:val="24"/>
          <w:szCs w:val="24"/>
        </w:rPr>
      </w:pPr>
    </w:p>
    <w:p w14:paraId="4F2D84A8" w14:textId="609B173F" w:rsidR="003D33A6" w:rsidRDefault="00842C1F" w:rsidP="007F2D8B">
      <w:pPr>
        <w:pStyle w:val="Estilo2"/>
        <w:spacing w:before="0" w:after="0" w:line="240" w:lineRule="auto"/>
        <w:rPr>
          <w:rFonts w:ascii="Times New Roman" w:hAnsi="Times New Roman" w:cs="Times New Roman"/>
          <w:color w:val="000000" w:themeColor="text1"/>
          <w:lang w:eastAsia="pt-BR"/>
        </w:rPr>
      </w:pPr>
      <w:bookmarkStart w:id="13" w:name="_Toc118763493"/>
      <w:r w:rsidRPr="009545B7">
        <w:rPr>
          <w:rFonts w:ascii="Times New Roman" w:hAnsi="Times New Roman" w:cs="Times New Roman"/>
          <w:color w:val="000000" w:themeColor="text1"/>
          <w:lang w:eastAsia="pt-BR"/>
        </w:rPr>
        <w:t>4.3 MENSURAÇÃO DO GRAU DE TRANSPARÊNCIA EM DEFESA: CASO BRASILEIRO</w:t>
      </w:r>
      <w:bookmarkEnd w:id="13"/>
    </w:p>
    <w:p w14:paraId="38D7B1F1" w14:textId="77777777" w:rsidR="007F2D8B" w:rsidRPr="009545B7" w:rsidRDefault="007F2D8B" w:rsidP="007F2D8B">
      <w:pPr>
        <w:pStyle w:val="Estilo2"/>
        <w:spacing w:before="0" w:after="0" w:line="240" w:lineRule="auto"/>
        <w:rPr>
          <w:rFonts w:ascii="Times New Roman" w:hAnsi="Times New Roman" w:cs="Times New Roman"/>
          <w:color w:val="000000" w:themeColor="text1"/>
          <w:lang w:eastAsia="pt-BR"/>
        </w:rPr>
      </w:pPr>
    </w:p>
    <w:p w14:paraId="086CB36F" w14:textId="22CFB707" w:rsidR="00842C1F" w:rsidRPr="009545B7" w:rsidRDefault="00842C1F" w:rsidP="007F2D8B">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Matias-Pereira (2017) defende que o uso de indicadores sociais de desempenho constituem</w:t>
      </w:r>
      <w:r w:rsidR="00A1018A"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agenda das ciências sociais. Tal fato decorre da exigência de mensuração de projetos e da necessidade de legitimação das políticas governamentais, democratizando as informações e a avaliação de políticas públicas. Dessa forma,  dentro de uma perspectiva de Integridade analisou-se a Transparência Pública no Setor de Defesa brasileiro. Nesse contexto, foi analisada a evolução do cenário brasileiro sob a ótica do </w:t>
      </w:r>
      <w:proofErr w:type="spellStart"/>
      <w:r w:rsidRPr="009545B7">
        <w:rPr>
          <w:rFonts w:ascii="Times New Roman" w:hAnsi="Times New Roman" w:cs="Times New Roman"/>
          <w:i/>
          <w:iCs/>
          <w:color w:val="000000" w:themeColor="text1"/>
          <w:sz w:val="24"/>
          <w:szCs w:val="24"/>
        </w:rPr>
        <w:t>Government</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Defence</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Integrity</w:t>
      </w:r>
      <w:proofErr w:type="spellEnd"/>
      <w:r w:rsidRPr="009545B7">
        <w:rPr>
          <w:rFonts w:ascii="Times New Roman" w:hAnsi="Times New Roman" w:cs="Times New Roman"/>
          <w:i/>
          <w:iCs/>
          <w:color w:val="000000" w:themeColor="text1"/>
          <w:sz w:val="24"/>
          <w:szCs w:val="24"/>
        </w:rPr>
        <w:t xml:space="preserve"> Index</w:t>
      </w:r>
      <w:r w:rsidRPr="009545B7">
        <w:rPr>
          <w:rFonts w:ascii="Times New Roman" w:hAnsi="Times New Roman" w:cs="Times New Roman"/>
          <w:color w:val="000000" w:themeColor="text1"/>
          <w:sz w:val="24"/>
          <w:szCs w:val="24"/>
        </w:rPr>
        <w:t xml:space="preserve"> (GDI). </w:t>
      </w:r>
    </w:p>
    <w:p w14:paraId="4D2C68F0" w14:textId="77777777"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Optou-se pelo GDI por representar a primeira, e principal, avaliação mundial dos riscos de corrupção nos setores de defesa nacional. Produzido pela </w:t>
      </w:r>
      <w:proofErr w:type="spellStart"/>
      <w:r w:rsidRPr="009545B7">
        <w:rPr>
          <w:rFonts w:ascii="Times New Roman" w:hAnsi="Times New Roman" w:cs="Times New Roman"/>
          <w:i/>
          <w:iCs/>
          <w:color w:val="000000" w:themeColor="text1"/>
          <w:sz w:val="24"/>
          <w:szCs w:val="24"/>
        </w:rPr>
        <w:t>Transparency</w:t>
      </w:r>
      <w:proofErr w:type="spellEnd"/>
      <w:r w:rsidRPr="009545B7">
        <w:rPr>
          <w:rFonts w:ascii="Times New Roman" w:hAnsi="Times New Roman" w:cs="Times New Roman"/>
          <w:i/>
          <w:iCs/>
          <w:color w:val="000000" w:themeColor="text1"/>
          <w:sz w:val="24"/>
          <w:szCs w:val="24"/>
        </w:rPr>
        <w:t xml:space="preserve"> </w:t>
      </w:r>
      <w:proofErr w:type="spellStart"/>
      <w:r w:rsidRPr="009545B7">
        <w:rPr>
          <w:rFonts w:ascii="Times New Roman" w:hAnsi="Times New Roman" w:cs="Times New Roman"/>
          <w:i/>
          <w:iCs/>
          <w:color w:val="000000" w:themeColor="text1"/>
          <w:sz w:val="24"/>
          <w:szCs w:val="24"/>
        </w:rPr>
        <w:t>International</w:t>
      </w:r>
      <w:proofErr w:type="spellEnd"/>
      <w:r w:rsidRPr="009545B7">
        <w:rPr>
          <w:rFonts w:ascii="Times New Roman" w:hAnsi="Times New Roman" w:cs="Times New Roman"/>
          <w:i/>
          <w:iCs/>
          <w:color w:val="000000" w:themeColor="text1"/>
          <w:sz w:val="24"/>
          <w:szCs w:val="24"/>
        </w:rPr>
        <w:t xml:space="preserve"> Defense &amp; Security</w:t>
      </w:r>
      <w:r w:rsidRPr="009545B7">
        <w:rPr>
          <w:rFonts w:ascii="Times New Roman" w:hAnsi="Times New Roman" w:cs="Times New Roman"/>
          <w:color w:val="000000" w:themeColor="text1"/>
          <w:sz w:val="24"/>
          <w:szCs w:val="24"/>
        </w:rPr>
        <w:t xml:space="preserve">, o GDI reconhece que a deficiência no desenvolvimento de práticas mais transparentes  dentro das instituições de defesa limita a capacidade de um país em se defender e enfraquece suas instituições públicas. Segundo </w:t>
      </w:r>
      <w:proofErr w:type="spellStart"/>
      <w:r w:rsidRPr="009545B7">
        <w:rPr>
          <w:rFonts w:ascii="Times New Roman" w:hAnsi="Times New Roman" w:cs="Times New Roman"/>
          <w:color w:val="000000" w:themeColor="text1"/>
          <w:sz w:val="24"/>
          <w:szCs w:val="24"/>
        </w:rPr>
        <w:t>Marzuki</w:t>
      </w:r>
      <w:proofErr w:type="spellEnd"/>
      <w:r w:rsidRPr="009545B7">
        <w:rPr>
          <w:rFonts w:ascii="Times New Roman" w:hAnsi="Times New Roman" w:cs="Times New Roman"/>
          <w:color w:val="000000" w:themeColor="text1"/>
          <w:sz w:val="24"/>
          <w:szCs w:val="24"/>
        </w:rPr>
        <w:t xml:space="preserve">, </w:t>
      </w:r>
      <w:proofErr w:type="spellStart"/>
      <w:r w:rsidRPr="009545B7">
        <w:rPr>
          <w:rFonts w:ascii="Times New Roman" w:hAnsi="Times New Roman" w:cs="Times New Roman"/>
          <w:color w:val="000000" w:themeColor="text1"/>
          <w:sz w:val="24"/>
          <w:szCs w:val="24"/>
        </w:rPr>
        <w:t>Hasnan</w:t>
      </w:r>
      <w:proofErr w:type="spellEnd"/>
      <w:r w:rsidRPr="009545B7">
        <w:rPr>
          <w:rFonts w:ascii="Times New Roman" w:hAnsi="Times New Roman" w:cs="Times New Roman"/>
          <w:color w:val="000000" w:themeColor="text1"/>
          <w:sz w:val="24"/>
          <w:szCs w:val="24"/>
        </w:rPr>
        <w:t xml:space="preserve"> e Ali (2022),  o GDI serve como uma avaliação abrangente da qualidade dos controles institucionais para gerenciamento de riscos. </w:t>
      </w:r>
    </w:p>
    <w:p w14:paraId="3BC2A132" w14:textId="2906C51B"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O GDI oferece um roteiro para melhoria das práticas de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overnança do Setor de Defesa. Ele mapeia lacunas em políticas públicas e fornece padrões que os países podem seguir para fortalecer seus sistemas, em cinco áreas de risco principais: formulação de políticas, finanças, gestão de pessoal, operações militares e aquisições. Ele atribui uma pontuação de 0 a 100 e classifica os países em relação a riscos numa escala  de “A” (salvaguardas muito robustas) a “F” (nenhuma proteção). O GDI é, dessa forma, uma ferramenta útil visando a colaboração da Sociedade Civil com os Ministérios da Defesa, as forças armadas e as instituições de supervisão, a fim de promover melhorias nos níveis de transparência e integridade (GDI, 2020)</w:t>
      </w:r>
      <w:r w:rsidR="00A1018A" w:rsidRPr="009545B7">
        <w:rPr>
          <w:rFonts w:ascii="Times New Roman" w:hAnsi="Times New Roman" w:cs="Times New Roman"/>
          <w:color w:val="000000" w:themeColor="text1"/>
          <w:sz w:val="24"/>
          <w:szCs w:val="24"/>
        </w:rPr>
        <w:t>.</w:t>
      </w:r>
    </w:p>
    <w:p w14:paraId="34AEC51F" w14:textId="77777777"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Segundo a edição mais recente do GDI (2020), a transparência em Defesa é maior e mais robusta entre os estados com governos mais participativos e colaborativos, e com bons índices de Governança Pública. Os 75 indicadores nas cinco subcategorias podem ser divididos em três tipos principais de fatores: transparência; processos de tomada de decisão; e monitoramento, escrutínio e supervisão. Assim, analisou-se aqui os indicadores da publicação supracitada referentes ao Setor de Defesa brasileiro.</w:t>
      </w:r>
    </w:p>
    <w:p w14:paraId="1E6EF2B3" w14:textId="030A6CE3" w:rsidR="00DE24EE"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O Setor de Defesa do Brasil, na edição de 2020 do GDI, recebeu a classificação “C- Risco Moderado”. Dentre os indicadores avaliados, para uma análise sob a ótica do cenário de Defesa Brasileiro, selecionou-se sete que se encontram diretamente relacionados à Transparência. Os indicadores selecionados encontram-se no quadro abaixo:</w:t>
      </w:r>
    </w:p>
    <w:p w14:paraId="75C46759" w14:textId="77777777" w:rsidR="004B5200" w:rsidRDefault="004B5200" w:rsidP="004B5200">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64CAD6D6" w14:textId="1A742BE3" w:rsidR="00842C1F" w:rsidRPr="009545B7" w:rsidRDefault="000214CE" w:rsidP="004B5200">
      <w:pPr>
        <w:autoSpaceDE w:val="0"/>
        <w:autoSpaceDN w:val="0"/>
        <w:adjustRightInd w:val="0"/>
        <w:spacing w:after="0" w:line="240" w:lineRule="auto"/>
        <w:ind w:firstLine="708"/>
        <w:rPr>
          <w:rFonts w:ascii="Times New Roman" w:hAnsi="Times New Roman" w:cs="Times New Roman"/>
          <w:b/>
          <w:bCs/>
          <w:color w:val="000000" w:themeColor="text1"/>
          <w:sz w:val="20"/>
          <w:szCs w:val="20"/>
        </w:rPr>
      </w:pPr>
      <w:r w:rsidRPr="009545B7">
        <w:rPr>
          <w:rFonts w:ascii="Times New Roman" w:hAnsi="Times New Roman" w:cs="Times New Roman"/>
          <w:b/>
          <w:bCs/>
          <w:color w:val="000000" w:themeColor="text1"/>
          <w:sz w:val="20"/>
          <w:szCs w:val="20"/>
        </w:rPr>
        <w:t xml:space="preserve">Quadro </w:t>
      </w:r>
      <w:r w:rsidR="00511457" w:rsidRPr="009545B7">
        <w:rPr>
          <w:rFonts w:ascii="Times New Roman" w:hAnsi="Times New Roman" w:cs="Times New Roman"/>
          <w:b/>
          <w:bCs/>
          <w:color w:val="000000" w:themeColor="text1"/>
          <w:sz w:val="20"/>
          <w:szCs w:val="20"/>
        </w:rPr>
        <w:t>4</w:t>
      </w:r>
      <w:r w:rsidR="00842C1F" w:rsidRPr="009545B7">
        <w:rPr>
          <w:rFonts w:ascii="Times New Roman" w:hAnsi="Times New Roman" w:cs="Times New Roman"/>
          <w:b/>
          <w:bCs/>
          <w:color w:val="000000" w:themeColor="text1"/>
          <w:sz w:val="20"/>
          <w:szCs w:val="20"/>
        </w:rPr>
        <w:t xml:space="preserve">  – Indicadores do GDI 2020 analisados</w:t>
      </w:r>
    </w:p>
    <w:p w14:paraId="4C730A05" w14:textId="77777777" w:rsidR="00FA778C" w:rsidRPr="009545B7" w:rsidRDefault="00842C1F" w:rsidP="00B84AF0">
      <w:pPr>
        <w:autoSpaceDE w:val="0"/>
        <w:autoSpaceDN w:val="0"/>
        <w:adjustRightInd w:val="0"/>
        <w:spacing w:after="0" w:line="240" w:lineRule="auto"/>
        <w:ind w:firstLine="0"/>
        <w:jc w:val="center"/>
        <w:rPr>
          <w:rFonts w:ascii="Times New Roman" w:hAnsi="Times New Roman" w:cs="Times New Roman"/>
          <w:color w:val="000000" w:themeColor="text1"/>
          <w:sz w:val="20"/>
          <w:szCs w:val="20"/>
        </w:rPr>
      </w:pPr>
      <w:r w:rsidRPr="009545B7">
        <w:rPr>
          <w:rFonts w:ascii="Times New Roman" w:hAnsi="Times New Roman" w:cs="Times New Roman"/>
          <w:noProof/>
          <w:color w:val="000000" w:themeColor="text1"/>
        </w:rPr>
        <w:drawing>
          <wp:inline distT="0" distB="0" distL="0" distR="0" wp14:anchorId="027A0152" wp14:editId="4A32A504">
            <wp:extent cx="4880423" cy="1654158"/>
            <wp:effectExtent l="0" t="0" r="0" b="0"/>
            <wp:docPr id="13" name="Imagem 13"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Tabel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5330937" cy="1806854"/>
                    </a:xfrm>
                    <a:prstGeom prst="rect">
                      <a:avLst/>
                    </a:prstGeom>
                    <a:ln>
                      <a:noFill/>
                    </a:ln>
                  </pic:spPr>
                </pic:pic>
              </a:graphicData>
            </a:graphic>
          </wp:inline>
        </w:drawing>
      </w:r>
    </w:p>
    <w:p w14:paraId="54A0C1A2" w14:textId="4BA9CEE5" w:rsidR="00842C1F" w:rsidRPr="009545B7" w:rsidRDefault="00842C1F" w:rsidP="00F57610">
      <w:pPr>
        <w:autoSpaceDE w:val="0"/>
        <w:autoSpaceDN w:val="0"/>
        <w:adjustRightInd w:val="0"/>
        <w:spacing w:after="0" w:line="240" w:lineRule="auto"/>
        <w:ind w:left="426" w:firstLine="282"/>
        <w:rPr>
          <w:rFonts w:ascii="Times New Roman" w:hAnsi="Times New Roman" w:cs="Times New Roman"/>
          <w:color w:val="000000" w:themeColor="text1"/>
          <w:sz w:val="18"/>
          <w:szCs w:val="18"/>
        </w:rPr>
      </w:pPr>
      <w:r w:rsidRPr="009545B7">
        <w:rPr>
          <w:rFonts w:ascii="Times New Roman" w:hAnsi="Times New Roman" w:cs="Times New Roman"/>
          <w:color w:val="000000" w:themeColor="text1"/>
          <w:sz w:val="18"/>
          <w:szCs w:val="18"/>
        </w:rPr>
        <w:t>Fonte: Quadro elaborado pelo autor a partir dos dados obtidos no GDI 2020.</w:t>
      </w:r>
    </w:p>
    <w:p w14:paraId="7C8F9EFA" w14:textId="77777777" w:rsidR="00730D14" w:rsidRPr="009545B7" w:rsidRDefault="00730D14" w:rsidP="00DE24EE">
      <w:pPr>
        <w:autoSpaceDE w:val="0"/>
        <w:autoSpaceDN w:val="0"/>
        <w:adjustRightInd w:val="0"/>
        <w:spacing w:after="0" w:line="240" w:lineRule="auto"/>
        <w:ind w:left="708" w:firstLine="0"/>
        <w:rPr>
          <w:rFonts w:ascii="Times New Roman" w:hAnsi="Times New Roman" w:cs="Times New Roman"/>
          <w:b/>
          <w:bCs/>
          <w:i/>
          <w:iCs/>
          <w:color w:val="000000" w:themeColor="text1"/>
        </w:rPr>
      </w:pPr>
    </w:p>
    <w:p w14:paraId="66B6CB2A" w14:textId="42F2B5A2" w:rsidR="000C4F3B"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lastRenderedPageBreak/>
        <w:t xml:space="preserve">Assim, </w:t>
      </w:r>
      <w:r w:rsidR="000C4F3B" w:rsidRPr="009545B7">
        <w:rPr>
          <w:rFonts w:ascii="Times New Roman" w:hAnsi="Times New Roman" w:cs="Times New Roman"/>
          <w:color w:val="000000" w:themeColor="text1"/>
          <w:sz w:val="24"/>
          <w:szCs w:val="24"/>
        </w:rPr>
        <w:t xml:space="preserve">observa-se </w:t>
      </w:r>
      <w:r w:rsidRPr="009545B7">
        <w:rPr>
          <w:rFonts w:ascii="Times New Roman" w:hAnsi="Times New Roman" w:cs="Times New Roman"/>
          <w:color w:val="000000" w:themeColor="text1"/>
          <w:sz w:val="24"/>
          <w:szCs w:val="24"/>
        </w:rPr>
        <w:t xml:space="preserve">que os indicadores “Debate sobre Política de Defesa” e “Debate Público” ainda apresentam resultados abaixo do esperado. Tal fato </w:t>
      </w:r>
      <w:r w:rsidR="000C4F3B" w:rsidRPr="009545B7">
        <w:rPr>
          <w:rFonts w:ascii="Times New Roman" w:hAnsi="Times New Roman" w:cs="Times New Roman"/>
          <w:color w:val="000000" w:themeColor="text1"/>
          <w:sz w:val="24"/>
          <w:szCs w:val="24"/>
        </w:rPr>
        <w:t>guarda relação</w:t>
      </w:r>
      <w:r w:rsidRPr="009545B7">
        <w:rPr>
          <w:rFonts w:ascii="Times New Roman" w:hAnsi="Times New Roman" w:cs="Times New Roman"/>
          <w:color w:val="000000" w:themeColor="text1"/>
          <w:sz w:val="24"/>
          <w:szCs w:val="24"/>
        </w:rPr>
        <w:t xml:space="preserve"> </w:t>
      </w:r>
      <w:r w:rsidR="000C4F3B" w:rsidRPr="009545B7">
        <w:rPr>
          <w:rFonts w:ascii="Times New Roman" w:hAnsi="Times New Roman" w:cs="Times New Roman"/>
          <w:color w:val="000000" w:themeColor="text1"/>
          <w:sz w:val="24"/>
          <w:szCs w:val="24"/>
        </w:rPr>
        <w:t>com os</w:t>
      </w:r>
      <w:r w:rsidRPr="009545B7">
        <w:rPr>
          <w:rFonts w:ascii="Times New Roman" w:hAnsi="Times New Roman" w:cs="Times New Roman"/>
          <w:color w:val="000000" w:themeColor="text1"/>
          <w:sz w:val="24"/>
          <w:szCs w:val="24"/>
        </w:rPr>
        <w:t xml:space="preserve"> gastos</w:t>
      </w:r>
      <w:r w:rsidR="000C4F3B" w:rsidRPr="009545B7">
        <w:rPr>
          <w:rFonts w:ascii="Times New Roman" w:hAnsi="Times New Roman" w:cs="Times New Roman"/>
          <w:color w:val="000000" w:themeColor="text1"/>
          <w:sz w:val="24"/>
          <w:szCs w:val="24"/>
        </w:rPr>
        <w:t xml:space="preserve"> relativos ao</w:t>
      </w:r>
      <w:r w:rsidRPr="009545B7">
        <w:rPr>
          <w:rFonts w:ascii="Times New Roman" w:hAnsi="Times New Roman" w:cs="Times New Roman"/>
          <w:color w:val="000000" w:themeColor="text1"/>
          <w:sz w:val="24"/>
          <w:szCs w:val="24"/>
        </w:rPr>
        <w:t xml:space="preserve"> Setor de Defesa</w:t>
      </w:r>
      <w:r w:rsidR="000C4F3B" w:rsidRPr="009545B7">
        <w:rPr>
          <w:rFonts w:ascii="Times New Roman" w:hAnsi="Times New Roman" w:cs="Times New Roman"/>
          <w:color w:val="000000" w:themeColor="text1"/>
          <w:sz w:val="24"/>
          <w:szCs w:val="24"/>
        </w:rPr>
        <w:t>, os quais não apresentam a mesma visibilidade de setores responsáveis por um impacto direto no bem estar social do cidadão</w:t>
      </w:r>
      <w:r w:rsidR="001C17BB">
        <w:rPr>
          <w:rFonts w:ascii="Times New Roman" w:hAnsi="Times New Roman" w:cs="Times New Roman"/>
          <w:color w:val="000000" w:themeColor="text1"/>
          <w:sz w:val="24"/>
          <w:szCs w:val="24"/>
        </w:rPr>
        <w:t xml:space="preserve">, </w:t>
      </w:r>
      <w:r w:rsidR="000C4F3B" w:rsidRPr="009545B7">
        <w:rPr>
          <w:rFonts w:ascii="Times New Roman" w:hAnsi="Times New Roman" w:cs="Times New Roman"/>
          <w:color w:val="000000" w:themeColor="text1"/>
          <w:sz w:val="24"/>
          <w:szCs w:val="24"/>
        </w:rPr>
        <w:t>como Saúde e Educação.</w:t>
      </w:r>
      <w:r w:rsidRPr="009545B7">
        <w:rPr>
          <w:rFonts w:ascii="Times New Roman" w:hAnsi="Times New Roman" w:cs="Times New Roman"/>
          <w:color w:val="000000" w:themeColor="text1"/>
          <w:sz w:val="24"/>
          <w:szCs w:val="24"/>
        </w:rPr>
        <w:t xml:space="preserve"> </w:t>
      </w:r>
      <w:r w:rsidR="000C4F3B" w:rsidRPr="009545B7">
        <w:rPr>
          <w:rFonts w:ascii="Times New Roman" w:hAnsi="Times New Roman" w:cs="Times New Roman"/>
          <w:color w:val="000000" w:themeColor="text1"/>
          <w:sz w:val="24"/>
          <w:szCs w:val="24"/>
        </w:rPr>
        <w:t>Dessa forma, segundo o entendimento de Almeida (2015), temáticas mais especificas, como o caso do Setor de Defesa Nacional, são relegadas a um segundo plano no âmbito da agenda politica governamental.</w:t>
      </w:r>
    </w:p>
    <w:p w14:paraId="1AA27AC5" w14:textId="3D838B1F" w:rsidR="00842C1F"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Analisando o indicador “Gastos com Defesa”, observou-se o alcance de um bom desempenho, fato </w:t>
      </w:r>
      <w:r w:rsidR="000C4F3B" w:rsidRPr="009545B7">
        <w:rPr>
          <w:rFonts w:ascii="Times New Roman" w:hAnsi="Times New Roman" w:cs="Times New Roman"/>
          <w:color w:val="000000" w:themeColor="text1"/>
          <w:sz w:val="24"/>
          <w:szCs w:val="24"/>
        </w:rPr>
        <w:t>relacionado</w:t>
      </w:r>
      <w:r w:rsidRPr="009545B7">
        <w:rPr>
          <w:rFonts w:ascii="Times New Roman" w:hAnsi="Times New Roman" w:cs="Times New Roman"/>
          <w:color w:val="000000" w:themeColor="text1"/>
          <w:sz w:val="24"/>
          <w:szCs w:val="24"/>
        </w:rPr>
        <w:t xml:space="preserve"> </w:t>
      </w:r>
      <w:r w:rsidR="000C4F3B" w:rsidRPr="009545B7">
        <w:rPr>
          <w:rFonts w:ascii="Times New Roman" w:hAnsi="Times New Roman" w:cs="Times New Roman"/>
          <w:color w:val="000000" w:themeColor="text1"/>
          <w:sz w:val="24"/>
          <w:szCs w:val="24"/>
        </w:rPr>
        <w:t>com o</w:t>
      </w:r>
      <w:r w:rsidRPr="009545B7">
        <w:rPr>
          <w:rFonts w:ascii="Times New Roman" w:hAnsi="Times New Roman" w:cs="Times New Roman"/>
          <w:color w:val="000000" w:themeColor="text1"/>
          <w:sz w:val="24"/>
          <w:szCs w:val="24"/>
        </w:rPr>
        <w:t>, também exitoso, resultado do indicador “Acesso à Informação”</w:t>
      </w:r>
      <w:r w:rsidR="001C17BB">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consequência do empenho governamental, mais especificamente do Setor de Defesa, em fornecer e utilizar-se de leis e políticas públicas que propiciam um eficiente instrumento de transparência e monitoramento por parte da sociedade civil. </w:t>
      </w:r>
    </w:p>
    <w:p w14:paraId="0C30A8F0" w14:textId="60D95423" w:rsidR="000C4F3B" w:rsidRPr="009545B7"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Por fim, os indicadores relacionados às questões de controle e supervisão orçamentários</w:t>
      </w:r>
      <w:r w:rsidR="004B5200">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“Auditoria Interna” e “Auditoria Externa”</w:t>
      </w:r>
      <w:r w:rsidR="004B5200">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 xml:space="preserve">apresentaram excelente desempenho, demonstrando que quanto mais fontes distintas de controle existirem, e quanto mais liberdade e capacidade possuírem para agir, melhores serão as perspectivas setoriais e mais eficientes serão as práticas de Governança. </w:t>
      </w:r>
    </w:p>
    <w:p w14:paraId="664C8499" w14:textId="4AFC3A21" w:rsidR="00842C1F" w:rsidRDefault="00842C1F" w:rsidP="00730D14">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Além disso, os órgãos de controle devem ter acesso suficiente a informações e recursos para desempenhar adequadamente suas funções e ser o mais livre possível de interferência política</w:t>
      </w:r>
      <w:r w:rsidR="004B5200">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o que é evidenciado pelo resultado alcançados no indicador “Transparência Orçamentária”.</w:t>
      </w:r>
    </w:p>
    <w:p w14:paraId="484F3F72" w14:textId="77777777" w:rsidR="007F2D8B" w:rsidRPr="009545B7" w:rsidRDefault="007F2D8B" w:rsidP="00730D14">
      <w:pPr>
        <w:autoSpaceDE w:val="0"/>
        <w:autoSpaceDN w:val="0"/>
        <w:adjustRightInd w:val="0"/>
        <w:spacing w:after="0" w:line="240" w:lineRule="auto"/>
        <w:rPr>
          <w:rFonts w:ascii="Times New Roman" w:hAnsi="Times New Roman" w:cs="Times New Roman"/>
          <w:color w:val="000000" w:themeColor="text1"/>
          <w:sz w:val="24"/>
          <w:szCs w:val="24"/>
        </w:rPr>
      </w:pPr>
    </w:p>
    <w:p w14:paraId="51D8B5B7" w14:textId="5CF1F088" w:rsidR="00AF6410" w:rsidRDefault="00842C1F" w:rsidP="007F2D8B">
      <w:pPr>
        <w:pStyle w:val="Estilo2"/>
        <w:spacing w:before="0" w:after="0" w:line="240" w:lineRule="auto"/>
        <w:rPr>
          <w:rFonts w:ascii="Times New Roman" w:hAnsi="Times New Roman" w:cs="Times New Roman"/>
          <w:color w:val="000000" w:themeColor="text1"/>
          <w:lang w:eastAsia="pt-BR"/>
        </w:rPr>
      </w:pPr>
      <w:bookmarkStart w:id="14" w:name="_Toc118763494"/>
      <w:r w:rsidRPr="009545B7">
        <w:rPr>
          <w:rFonts w:ascii="Times New Roman" w:hAnsi="Times New Roman" w:cs="Times New Roman"/>
          <w:color w:val="000000" w:themeColor="text1"/>
          <w:lang w:eastAsia="pt-BR"/>
        </w:rPr>
        <w:t>4.4 TRANSPARÊNCIA EM DEFESA SOB O PONTO DE VISTA DO CONTROLE</w:t>
      </w:r>
      <w:bookmarkEnd w:id="14"/>
    </w:p>
    <w:p w14:paraId="48A571EA" w14:textId="77777777" w:rsidR="00AF6410" w:rsidRPr="009545B7" w:rsidRDefault="00AF6410" w:rsidP="007F2D8B">
      <w:pPr>
        <w:pStyle w:val="Estilo2"/>
        <w:spacing w:before="0" w:after="0" w:line="240" w:lineRule="auto"/>
        <w:rPr>
          <w:rFonts w:ascii="Times New Roman" w:hAnsi="Times New Roman" w:cs="Times New Roman"/>
          <w:color w:val="000000" w:themeColor="text1"/>
          <w:lang w:eastAsia="pt-BR"/>
        </w:rPr>
      </w:pPr>
    </w:p>
    <w:p w14:paraId="24BA9961" w14:textId="77777777" w:rsidR="00842C1F" w:rsidRPr="009545B7" w:rsidRDefault="00842C1F" w:rsidP="007F2D8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Conforme exposto por meio dos indicadores do GDI relacionados ao controle, a importância dada a este mecanismo de monitoramento e supervisão torna-se evidente no contexto da Defesa. </w:t>
      </w:r>
    </w:p>
    <w:p w14:paraId="326C42F3" w14:textId="77777777" w:rsidR="000C4F3B" w:rsidRPr="009545B7" w:rsidRDefault="000C4F3B"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Almeida (2015) defende que o Setor de Defesa Nacional, possui complexidades e características especificas uma vez que as despesas relacionadas ao Setor de Defesa possui alta especialidade e baixa visibilidade devendo estar sempre comprometido com a justificação de suas despesas em nível mais intenso que outros setores governamentais. Nesse sentido, o autor entende que toda despesa governamental precisa de justificação, mas torna-se particularmente relevante para gastos com os do Setor de Defesa. </w:t>
      </w:r>
    </w:p>
    <w:p w14:paraId="4274483C" w14:textId="632378E5" w:rsidR="00842C1F" w:rsidRPr="009545B7" w:rsidRDefault="00731FF3" w:rsidP="00730D1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Ainda analisando o entendimento do autor, o mesmo </w:t>
      </w:r>
      <w:r w:rsidR="00842C1F" w:rsidRPr="009545B7">
        <w:rPr>
          <w:rFonts w:ascii="Times New Roman" w:eastAsia="Times New Roman" w:hAnsi="Times New Roman" w:cs="Times New Roman"/>
          <w:color w:val="000000" w:themeColor="text1"/>
          <w:sz w:val="24"/>
          <w:szCs w:val="24"/>
          <w:lang w:eastAsia="pt-BR"/>
        </w:rPr>
        <w:t>defende que em um país com profundos problemas socioeconômicos</w:t>
      </w:r>
      <w:r w:rsidR="004B5200">
        <w:rPr>
          <w:rFonts w:ascii="Times New Roman" w:eastAsia="Times New Roman" w:hAnsi="Times New Roman" w:cs="Times New Roman"/>
          <w:color w:val="000000" w:themeColor="text1"/>
          <w:sz w:val="24"/>
          <w:szCs w:val="24"/>
          <w:lang w:eastAsia="pt-BR"/>
        </w:rPr>
        <w:t xml:space="preserve">, </w:t>
      </w:r>
      <w:r w:rsidR="00842C1F" w:rsidRPr="009545B7">
        <w:rPr>
          <w:rFonts w:ascii="Times New Roman" w:eastAsia="Times New Roman" w:hAnsi="Times New Roman" w:cs="Times New Roman"/>
          <w:color w:val="000000" w:themeColor="text1"/>
          <w:sz w:val="24"/>
          <w:szCs w:val="24"/>
          <w:lang w:eastAsia="pt-BR"/>
        </w:rPr>
        <w:t>no qual a demanda por recursos a serem aplicados visando sanar questões sociais é, historicamente elevada</w:t>
      </w:r>
      <w:r w:rsidR="004B5200">
        <w:rPr>
          <w:rFonts w:ascii="Times New Roman" w:eastAsia="Times New Roman" w:hAnsi="Times New Roman" w:cs="Times New Roman"/>
          <w:color w:val="000000" w:themeColor="text1"/>
          <w:sz w:val="24"/>
          <w:szCs w:val="24"/>
          <w:lang w:eastAsia="pt-BR"/>
        </w:rPr>
        <w:t xml:space="preserve">, </w:t>
      </w:r>
      <w:r w:rsidR="00842C1F" w:rsidRPr="009545B7">
        <w:rPr>
          <w:rFonts w:ascii="Times New Roman" w:eastAsia="Times New Roman" w:hAnsi="Times New Roman" w:cs="Times New Roman"/>
          <w:color w:val="000000" w:themeColor="text1"/>
          <w:sz w:val="24"/>
          <w:szCs w:val="24"/>
          <w:lang w:eastAsia="pt-BR"/>
        </w:rPr>
        <w:t>torna-se pouco provável que, no curto prazo, haja incrementos expressivos no orçamento destinado ao MD. Dessa forma, os escassos recursos disponibilizados precisam ser usados de maneira a obter os melhores resultados e geração de valor para a sociedade civil.</w:t>
      </w:r>
    </w:p>
    <w:p w14:paraId="41AC648F" w14:textId="5D15917C" w:rsidR="00164C5A" w:rsidRDefault="00731FF3" w:rsidP="0030523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Para Furtado (2013) é fundamental que tanto o controle externo quanto o interno ajam de forma conjunta visando a melhoria  do desempenho do Setor de Defesa, traduzindo, assim, a importância da transparência pública na fiscalização do setor. A importância da mentalidade institucional e a agregação de metodologias serão fundamentais para a perpetuação de uma Defesa robusta e eficaz entregando à sociedade o bem público de forma eficiente (ALMEIDA 2015).</w:t>
      </w:r>
    </w:p>
    <w:p w14:paraId="1F7B2421" w14:textId="77777777" w:rsidR="001C1C3C" w:rsidRPr="009545B7" w:rsidRDefault="001C1C3C" w:rsidP="0030523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p>
    <w:p w14:paraId="34C74E5A" w14:textId="4504C3F3" w:rsidR="001C1C3C" w:rsidRDefault="00842C1F" w:rsidP="001C1C3C">
      <w:pPr>
        <w:pStyle w:val="Estilo1"/>
        <w:spacing w:before="0"/>
        <w:rPr>
          <w:rFonts w:ascii="Times New Roman" w:hAnsi="Times New Roman" w:cs="Times New Roman"/>
          <w:color w:val="000000" w:themeColor="text1"/>
        </w:rPr>
      </w:pPr>
      <w:bookmarkStart w:id="15" w:name="_Toc118763495"/>
      <w:r w:rsidRPr="009545B7">
        <w:rPr>
          <w:rFonts w:ascii="Times New Roman" w:hAnsi="Times New Roman" w:cs="Times New Roman"/>
          <w:color w:val="000000" w:themeColor="text1"/>
        </w:rPr>
        <w:t>5 CONSIDERAÇÕES FINAIS</w:t>
      </w:r>
      <w:bookmarkEnd w:id="15"/>
    </w:p>
    <w:p w14:paraId="62DE0CBA" w14:textId="77777777" w:rsidR="00AF6410" w:rsidRPr="009545B7" w:rsidRDefault="00AF6410" w:rsidP="001C1C3C">
      <w:pPr>
        <w:pStyle w:val="Estilo1"/>
        <w:spacing w:before="0"/>
        <w:rPr>
          <w:rFonts w:ascii="Times New Roman" w:hAnsi="Times New Roman" w:cs="Times New Roman"/>
          <w:color w:val="000000" w:themeColor="text1"/>
        </w:rPr>
      </w:pPr>
    </w:p>
    <w:p w14:paraId="60B93A4B" w14:textId="77777777" w:rsidR="00731FF3" w:rsidRPr="009545B7" w:rsidRDefault="00842C1F" w:rsidP="001C1C3C">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Inicialmente, discorreu-se acerca da Governança Pública e de sua contextualização no cenário Brasileiro. Releva destacar a importância que o tema vem ganhando nos últimos anos </w:t>
      </w:r>
      <w:r w:rsidRPr="009545B7">
        <w:rPr>
          <w:rFonts w:ascii="Times New Roman" w:hAnsi="Times New Roman" w:cs="Times New Roman"/>
          <w:color w:val="000000" w:themeColor="text1"/>
          <w:sz w:val="24"/>
          <w:szCs w:val="24"/>
        </w:rPr>
        <w:lastRenderedPageBreak/>
        <w:t xml:space="preserve">na Administração Pública. Este estudo buscou </w:t>
      </w:r>
      <w:r w:rsidR="00731FF3" w:rsidRPr="009545B7">
        <w:rPr>
          <w:rFonts w:ascii="Times New Roman" w:hAnsi="Times New Roman" w:cs="Times New Roman"/>
          <w:color w:val="000000" w:themeColor="text1"/>
          <w:sz w:val="24"/>
          <w:szCs w:val="24"/>
        </w:rPr>
        <w:t>debruçar</w:t>
      </w:r>
      <w:r w:rsidRPr="009545B7">
        <w:rPr>
          <w:rFonts w:ascii="Times New Roman" w:hAnsi="Times New Roman" w:cs="Times New Roman"/>
          <w:color w:val="000000" w:themeColor="text1"/>
          <w:sz w:val="24"/>
          <w:szCs w:val="24"/>
        </w:rPr>
        <w:t xml:space="preserve">-se sobre o ponto de vista da Transparência Pública e, de forma a delimitar ainda mais a pesquisa, estudou-se o contexto da Transparência aplicada ao Setor de Defesa. </w:t>
      </w:r>
    </w:p>
    <w:p w14:paraId="1CF237FA" w14:textId="1EC16141" w:rsidR="00842C1F" w:rsidRPr="009545B7" w:rsidRDefault="00842C1F" w:rsidP="00A95A6A">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Foram abordadas, dessa forma, informações relevantes para o entendimento da maneira com a qual se relacionam os conceitos de </w:t>
      </w:r>
      <w:r w:rsidR="00124B69"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 xml:space="preserve">ransparência  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overnança quando aplicados ao Setor de Defesa nacional.</w:t>
      </w:r>
    </w:p>
    <w:p w14:paraId="3BD089CB" w14:textId="4FBBCDCE" w:rsidR="0086203C" w:rsidRDefault="00842C1F" w:rsidP="00305237">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 relação entre Transparência Pública e o controle social exercido pelos cidadãos, dentro de um contexto de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aberta, onde </w:t>
      </w:r>
      <w:r w:rsidR="00731FF3" w:rsidRPr="009545B7">
        <w:rPr>
          <w:rFonts w:ascii="Times New Roman" w:hAnsi="Times New Roman" w:cs="Times New Roman"/>
          <w:color w:val="000000" w:themeColor="text1"/>
          <w:sz w:val="24"/>
          <w:szCs w:val="24"/>
        </w:rPr>
        <w:t>as organizações de Defesa encontram-se inseridas</w:t>
      </w:r>
      <w:r w:rsidRPr="009545B7">
        <w:rPr>
          <w:rFonts w:ascii="Times New Roman" w:hAnsi="Times New Roman" w:cs="Times New Roman"/>
          <w:color w:val="000000" w:themeColor="text1"/>
          <w:sz w:val="24"/>
          <w:szCs w:val="24"/>
        </w:rPr>
        <w:t>, pode ser representado conforme o esquema abaixo</w:t>
      </w:r>
      <w:r w:rsidR="00731FF3" w:rsidRPr="009545B7">
        <w:rPr>
          <w:rFonts w:ascii="Times New Roman" w:hAnsi="Times New Roman" w:cs="Times New Roman"/>
          <w:color w:val="000000" w:themeColor="text1"/>
          <w:sz w:val="24"/>
          <w:szCs w:val="24"/>
        </w:rPr>
        <w:t>, adaptado do estudo de Klaus</w:t>
      </w:r>
      <w:r w:rsidR="00167396" w:rsidRPr="009545B7">
        <w:rPr>
          <w:rFonts w:ascii="Times New Roman" w:hAnsi="Times New Roman" w:cs="Times New Roman"/>
          <w:color w:val="000000" w:themeColor="text1"/>
          <w:sz w:val="24"/>
          <w:szCs w:val="24"/>
        </w:rPr>
        <w:t xml:space="preserve"> </w:t>
      </w:r>
      <w:r w:rsidR="00731FF3" w:rsidRPr="009545B7">
        <w:rPr>
          <w:rFonts w:ascii="Times New Roman" w:hAnsi="Times New Roman" w:cs="Times New Roman"/>
          <w:color w:val="000000" w:themeColor="text1"/>
          <w:sz w:val="24"/>
          <w:szCs w:val="24"/>
        </w:rPr>
        <w:t>(2016)</w:t>
      </w:r>
      <w:r w:rsidRPr="009545B7">
        <w:rPr>
          <w:rFonts w:ascii="Times New Roman" w:hAnsi="Times New Roman" w:cs="Times New Roman"/>
          <w:color w:val="000000" w:themeColor="text1"/>
          <w:sz w:val="24"/>
          <w:szCs w:val="24"/>
        </w:rPr>
        <w:t>:</w:t>
      </w:r>
    </w:p>
    <w:p w14:paraId="72D343E1" w14:textId="77777777" w:rsidR="00305237" w:rsidRPr="00305237" w:rsidRDefault="00305237" w:rsidP="00305237">
      <w:pPr>
        <w:autoSpaceDE w:val="0"/>
        <w:autoSpaceDN w:val="0"/>
        <w:adjustRightInd w:val="0"/>
        <w:spacing w:after="0" w:line="240" w:lineRule="auto"/>
        <w:rPr>
          <w:rFonts w:ascii="Times New Roman" w:hAnsi="Times New Roman" w:cs="Times New Roman"/>
          <w:color w:val="000000" w:themeColor="text1"/>
          <w:sz w:val="24"/>
          <w:szCs w:val="24"/>
        </w:rPr>
      </w:pPr>
    </w:p>
    <w:p w14:paraId="048963F5" w14:textId="76A89106" w:rsidR="00842C1F" w:rsidRPr="009545B7" w:rsidRDefault="00A65BE2" w:rsidP="00F57610">
      <w:pPr>
        <w:autoSpaceDE w:val="0"/>
        <w:autoSpaceDN w:val="0"/>
        <w:adjustRightInd w:val="0"/>
        <w:spacing w:after="0" w:line="240" w:lineRule="auto"/>
        <w:ind w:firstLine="284"/>
        <w:jc w:val="left"/>
        <w:rPr>
          <w:rFonts w:ascii="Times New Roman" w:hAnsi="Times New Roman" w:cs="Times New Roman"/>
          <w:b/>
          <w:bCs/>
          <w:color w:val="000000" w:themeColor="text1"/>
          <w:sz w:val="20"/>
          <w:szCs w:val="20"/>
        </w:rPr>
      </w:pPr>
      <w:r w:rsidRPr="009545B7">
        <w:rPr>
          <w:rFonts w:ascii="Times New Roman" w:hAnsi="Times New Roman" w:cs="Times New Roman"/>
          <w:b/>
          <w:bCs/>
          <w:color w:val="000000" w:themeColor="text1"/>
          <w:sz w:val="20"/>
          <w:szCs w:val="20"/>
        </w:rPr>
        <w:t>Figura</w:t>
      </w:r>
      <w:r w:rsidR="00842C1F" w:rsidRPr="009545B7">
        <w:rPr>
          <w:rFonts w:ascii="Times New Roman" w:hAnsi="Times New Roman" w:cs="Times New Roman"/>
          <w:b/>
          <w:bCs/>
          <w:color w:val="000000" w:themeColor="text1"/>
          <w:sz w:val="20"/>
          <w:szCs w:val="20"/>
        </w:rPr>
        <w:t xml:space="preserve"> </w:t>
      </w:r>
      <w:r w:rsidR="008D318B" w:rsidRPr="009545B7">
        <w:rPr>
          <w:rFonts w:ascii="Times New Roman" w:hAnsi="Times New Roman" w:cs="Times New Roman"/>
          <w:b/>
          <w:bCs/>
          <w:color w:val="000000" w:themeColor="text1"/>
          <w:sz w:val="20"/>
          <w:szCs w:val="20"/>
        </w:rPr>
        <w:t>3</w:t>
      </w:r>
      <w:r w:rsidR="00842C1F" w:rsidRPr="009545B7">
        <w:rPr>
          <w:rFonts w:ascii="Times New Roman" w:hAnsi="Times New Roman" w:cs="Times New Roman"/>
          <w:b/>
          <w:bCs/>
          <w:color w:val="000000" w:themeColor="text1"/>
          <w:sz w:val="20"/>
          <w:szCs w:val="20"/>
        </w:rPr>
        <w:t xml:space="preserve"> – Relação entre Transparência e Governança em Defesa</w:t>
      </w:r>
    </w:p>
    <w:p w14:paraId="3BCF0472" w14:textId="77777777" w:rsidR="00B84AF0" w:rsidRPr="009545B7" w:rsidRDefault="00842C1F" w:rsidP="00B84AF0">
      <w:pPr>
        <w:autoSpaceDE w:val="0"/>
        <w:autoSpaceDN w:val="0"/>
        <w:adjustRightInd w:val="0"/>
        <w:spacing w:after="0" w:line="240" w:lineRule="auto"/>
        <w:ind w:firstLine="0"/>
        <w:jc w:val="center"/>
        <w:rPr>
          <w:rFonts w:ascii="Times New Roman" w:hAnsi="Times New Roman" w:cs="Times New Roman"/>
          <w:color w:val="000000" w:themeColor="text1"/>
          <w:sz w:val="20"/>
          <w:szCs w:val="20"/>
        </w:rPr>
      </w:pPr>
      <w:r w:rsidRPr="009545B7">
        <w:rPr>
          <w:rFonts w:ascii="Times New Roman" w:hAnsi="Times New Roman" w:cs="Times New Roman"/>
          <w:noProof/>
          <w:color w:val="000000" w:themeColor="text1"/>
        </w:rPr>
        <w:drawing>
          <wp:inline distT="0" distB="0" distL="0" distR="0" wp14:anchorId="6C325506" wp14:editId="72B072E8">
            <wp:extent cx="5395595" cy="3565041"/>
            <wp:effectExtent l="25400" t="25400" r="27305" b="2921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1482" cy="3628397"/>
                    </a:xfrm>
                    <a:prstGeom prst="rect">
                      <a:avLst/>
                    </a:prstGeom>
                    <a:noFill/>
                    <a:ln w="25400">
                      <a:solidFill>
                        <a:schemeClr val="tx1"/>
                      </a:solidFill>
                    </a:ln>
                  </pic:spPr>
                </pic:pic>
              </a:graphicData>
            </a:graphic>
          </wp:inline>
        </w:drawing>
      </w:r>
    </w:p>
    <w:p w14:paraId="25CC6394" w14:textId="2B6C5C15" w:rsidR="00842C1F" w:rsidRPr="009545B7" w:rsidRDefault="00842C1F" w:rsidP="00F57610">
      <w:pPr>
        <w:autoSpaceDE w:val="0"/>
        <w:autoSpaceDN w:val="0"/>
        <w:adjustRightInd w:val="0"/>
        <w:spacing w:after="0" w:line="240" w:lineRule="auto"/>
        <w:ind w:firstLine="284"/>
        <w:rPr>
          <w:rFonts w:ascii="Times New Roman" w:hAnsi="Times New Roman" w:cs="Times New Roman"/>
          <w:color w:val="000000" w:themeColor="text1"/>
          <w:sz w:val="18"/>
          <w:szCs w:val="18"/>
        </w:rPr>
      </w:pPr>
      <w:r w:rsidRPr="009545B7">
        <w:rPr>
          <w:rFonts w:ascii="Times New Roman" w:hAnsi="Times New Roman" w:cs="Times New Roman"/>
          <w:color w:val="000000" w:themeColor="text1"/>
          <w:sz w:val="18"/>
          <w:szCs w:val="18"/>
        </w:rPr>
        <w:fldChar w:fldCharType="begin"/>
      </w:r>
      <w:r w:rsidRPr="009545B7">
        <w:rPr>
          <w:rFonts w:ascii="Times New Roman" w:hAnsi="Times New Roman" w:cs="Times New Roman"/>
          <w:color w:val="000000" w:themeColor="text1"/>
          <w:sz w:val="18"/>
          <w:szCs w:val="18"/>
        </w:rPr>
        <w:instrText xml:space="preserve"> INCLUDEPICTURE "https://documents.lucid.app/documents/02a23bf9-a5f3-474d-9c2c-aaba799ed9a3/pages/0_0?a=1723&amp;x=-66&amp;y=14&amp;w=1452&amp;h=1014&amp;store=1&amp;accept=image%2F*&amp;auth=LCA%20242ac73118053cbf558f8908bf13bd7b5f661def-ts%3D1667347164" \* MERGEFORMATINET </w:instrText>
      </w:r>
      <w:r w:rsidR="00000000">
        <w:rPr>
          <w:rFonts w:ascii="Times New Roman" w:hAnsi="Times New Roman" w:cs="Times New Roman"/>
          <w:color w:val="000000" w:themeColor="text1"/>
          <w:sz w:val="18"/>
          <w:szCs w:val="18"/>
        </w:rPr>
        <w:fldChar w:fldCharType="separate"/>
      </w:r>
      <w:r w:rsidRPr="009545B7">
        <w:rPr>
          <w:rFonts w:ascii="Times New Roman" w:hAnsi="Times New Roman" w:cs="Times New Roman"/>
          <w:color w:val="000000" w:themeColor="text1"/>
          <w:sz w:val="18"/>
          <w:szCs w:val="18"/>
        </w:rPr>
        <w:fldChar w:fldCharType="end"/>
      </w:r>
      <w:r w:rsidRPr="009545B7">
        <w:rPr>
          <w:rFonts w:ascii="Times New Roman" w:hAnsi="Times New Roman" w:cs="Times New Roman"/>
          <w:color w:val="000000" w:themeColor="text1"/>
          <w:sz w:val="18"/>
          <w:szCs w:val="18"/>
        </w:rPr>
        <w:t>Fonte: Adaptação feita com base em Klaus (2016).</w:t>
      </w:r>
    </w:p>
    <w:p w14:paraId="54CF507E" w14:textId="77777777" w:rsidR="00305237" w:rsidRDefault="00305237" w:rsidP="00E107AD">
      <w:pPr>
        <w:autoSpaceDE w:val="0"/>
        <w:autoSpaceDN w:val="0"/>
        <w:adjustRightInd w:val="0"/>
        <w:spacing w:after="0" w:line="240" w:lineRule="auto"/>
        <w:ind w:firstLine="0"/>
        <w:rPr>
          <w:rFonts w:ascii="Times New Roman" w:hAnsi="Times New Roman" w:cs="Times New Roman"/>
          <w:color w:val="000000" w:themeColor="text1"/>
          <w:sz w:val="24"/>
          <w:szCs w:val="24"/>
        </w:rPr>
      </w:pPr>
    </w:p>
    <w:p w14:paraId="31879522" w14:textId="77777777" w:rsidR="007F2D8B" w:rsidRDefault="007F2D8B" w:rsidP="00305237">
      <w:pPr>
        <w:autoSpaceDE w:val="0"/>
        <w:autoSpaceDN w:val="0"/>
        <w:adjustRightInd w:val="0"/>
        <w:spacing w:after="0" w:line="240" w:lineRule="auto"/>
        <w:ind w:firstLine="360"/>
        <w:rPr>
          <w:rFonts w:ascii="Times New Roman" w:hAnsi="Times New Roman" w:cs="Times New Roman"/>
          <w:color w:val="000000" w:themeColor="text1"/>
          <w:sz w:val="24"/>
          <w:szCs w:val="24"/>
        </w:rPr>
      </w:pPr>
    </w:p>
    <w:p w14:paraId="3D56E5E2" w14:textId="77777777" w:rsidR="007F2D8B" w:rsidRDefault="007F2D8B" w:rsidP="00305237">
      <w:pPr>
        <w:autoSpaceDE w:val="0"/>
        <w:autoSpaceDN w:val="0"/>
        <w:adjustRightInd w:val="0"/>
        <w:spacing w:after="0" w:line="240" w:lineRule="auto"/>
        <w:ind w:firstLine="360"/>
        <w:rPr>
          <w:rFonts w:ascii="Times New Roman" w:hAnsi="Times New Roman" w:cs="Times New Roman"/>
          <w:color w:val="000000" w:themeColor="text1"/>
          <w:sz w:val="24"/>
          <w:szCs w:val="24"/>
        </w:rPr>
      </w:pPr>
    </w:p>
    <w:p w14:paraId="17A67FD1" w14:textId="77777777" w:rsidR="007F2D8B" w:rsidRDefault="007F2D8B" w:rsidP="00305237">
      <w:pPr>
        <w:autoSpaceDE w:val="0"/>
        <w:autoSpaceDN w:val="0"/>
        <w:adjustRightInd w:val="0"/>
        <w:spacing w:after="0" w:line="240" w:lineRule="auto"/>
        <w:ind w:firstLine="360"/>
        <w:rPr>
          <w:rFonts w:ascii="Times New Roman" w:hAnsi="Times New Roman" w:cs="Times New Roman"/>
          <w:color w:val="000000" w:themeColor="text1"/>
          <w:sz w:val="24"/>
          <w:szCs w:val="24"/>
        </w:rPr>
      </w:pPr>
    </w:p>
    <w:p w14:paraId="1C4379F6" w14:textId="49BDF681" w:rsidR="00511457" w:rsidRPr="009545B7" w:rsidRDefault="00842C1F" w:rsidP="00305237">
      <w:pPr>
        <w:autoSpaceDE w:val="0"/>
        <w:autoSpaceDN w:val="0"/>
        <w:adjustRightInd w:val="0"/>
        <w:spacing w:after="0" w:line="240" w:lineRule="auto"/>
        <w:ind w:firstLine="360"/>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Pelo exposto no quadro acima, identificam-se: </w:t>
      </w:r>
    </w:p>
    <w:p w14:paraId="7BD16714" w14:textId="77777777" w:rsidR="00511457" w:rsidRPr="009545B7" w:rsidRDefault="00511457" w:rsidP="00511457">
      <w:pPr>
        <w:autoSpaceDE w:val="0"/>
        <w:autoSpaceDN w:val="0"/>
        <w:adjustRightInd w:val="0"/>
        <w:spacing w:after="0" w:line="240" w:lineRule="auto"/>
        <w:rPr>
          <w:rFonts w:ascii="Times New Roman" w:hAnsi="Times New Roman" w:cs="Times New Roman"/>
          <w:color w:val="000000" w:themeColor="text1"/>
          <w:sz w:val="24"/>
          <w:szCs w:val="24"/>
        </w:rPr>
      </w:pPr>
    </w:p>
    <w:p w14:paraId="18BD7A64" w14:textId="77777777" w:rsidR="00842C1F"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t xml:space="preserve">A influência da maturidade democrática da sociedade sobre o entendimento da importância da transparência pública e de seus mecanismos; </w:t>
      </w:r>
    </w:p>
    <w:p w14:paraId="380D00AE" w14:textId="59124FA0" w:rsidR="00842C1F"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t>Os níveis de Transparência Pública, tanto vertical – transparência hierárquica, na qual o principal monitora o agente –</w:t>
      </w:r>
      <w:r w:rsidR="004B5200">
        <w:rPr>
          <w:rFonts w:ascii="Times New Roman" w:hAnsi="Times New Roman" w:cs="Times New Roman"/>
          <w:color w:val="000000" w:themeColor="text1"/>
        </w:rPr>
        <w:t xml:space="preserve"> </w:t>
      </w:r>
      <w:r w:rsidRPr="009545B7">
        <w:rPr>
          <w:rFonts w:ascii="Times New Roman" w:hAnsi="Times New Roman" w:cs="Times New Roman"/>
          <w:color w:val="000000" w:themeColor="text1"/>
        </w:rPr>
        <w:t>quanto horizontal  –</w:t>
      </w:r>
      <w:r w:rsidR="004B5200">
        <w:rPr>
          <w:rFonts w:ascii="Times New Roman" w:hAnsi="Times New Roman" w:cs="Times New Roman"/>
          <w:color w:val="000000" w:themeColor="text1"/>
        </w:rPr>
        <w:t xml:space="preserve"> </w:t>
      </w:r>
      <w:r w:rsidRPr="009545B7">
        <w:rPr>
          <w:rFonts w:ascii="Times New Roman" w:hAnsi="Times New Roman" w:cs="Times New Roman"/>
          <w:color w:val="000000" w:themeColor="text1"/>
        </w:rPr>
        <w:t>observadores podem visualizar o que ocorre dentro da organização – mediados pela participação cidadã, reforçam a Transparência em Defesa;</w:t>
      </w:r>
    </w:p>
    <w:p w14:paraId="65DFEF72" w14:textId="77777777" w:rsidR="00842C1F"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t>O Controle Social cada vez mais consolidado contribui para o fomento da Transparência em Defesa;</w:t>
      </w:r>
    </w:p>
    <w:p w14:paraId="5AF1D941" w14:textId="77777777" w:rsidR="00842C1F"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t>Fatores como Segurança nacional e Relações Internacionais são responsáveis por exercer um papel moderador na Transparência em Defesa, reforçando a limitação gerada pelos graus de Sigilo atinentes ao Setor;</w:t>
      </w:r>
    </w:p>
    <w:p w14:paraId="0B288196" w14:textId="77777777" w:rsidR="00842C1F"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lastRenderedPageBreak/>
        <w:t>O Controle Social também reforça os mecanismos de Governança Pública;</w:t>
      </w:r>
    </w:p>
    <w:p w14:paraId="2C000B58" w14:textId="42201244" w:rsidR="00842C1F"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t>As Reformas e debates socioeconômicos possuem influência direta acerca da Governança Pública;</w:t>
      </w:r>
      <w:r w:rsidR="00731FF3" w:rsidRPr="009545B7">
        <w:rPr>
          <w:rFonts w:ascii="Times New Roman" w:hAnsi="Times New Roman" w:cs="Times New Roman"/>
          <w:color w:val="000000" w:themeColor="text1"/>
        </w:rPr>
        <w:t xml:space="preserve"> e</w:t>
      </w:r>
    </w:p>
    <w:p w14:paraId="3E7C0276" w14:textId="3EB89451" w:rsidR="00A95A6A" w:rsidRPr="009545B7" w:rsidRDefault="00842C1F" w:rsidP="00511457">
      <w:pPr>
        <w:pStyle w:val="PargrafodaLista"/>
        <w:numPr>
          <w:ilvl w:val="0"/>
          <w:numId w:val="1"/>
        </w:numPr>
        <w:autoSpaceDE w:val="0"/>
        <w:autoSpaceDN w:val="0"/>
        <w:adjustRightInd w:val="0"/>
        <w:jc w:val="both"/>
        <w:rPr>
          <w:rFonts w:ascii="Times New Roman" w:hAnsi="Times New Roman" w:cs="Times New Roman"/>
          <w:color w:val="000000" w:themeColor="text1"/>
        </w:rPr>
      </w:pPr>
      <w:r w:rsidRPr="009545B7">
        <w:rPr>
          <w:rFonts w:ascii="Times New Roman" w:hAnsi="Times New Roman" w:cs="Times New Roman"/>
          <w:color w:val="000000" w:themeColor="text1"/>
        </w:rPr>
        <w:t>A transparência reforça e fortalece a Governança Pública, agindo extensivamente de maneira correlata em relação à Governança em Defesa.</w:t>
      </w:r>
    </w:p>
    <w:p w14:paraId="4A1EC5AF" w14:textId="77777777" w:rsidR="00A95A6A" w:rsidRPr="009545B7" w:rsidRDefault="00A95A6A" w:rsidP="00A95A6A">
      <w:pPr>
        <w:pStyle w:val="PargrafodaLista"/>
        <w:autoSpaceDE w:val="0"/>
        <w:autoSpaceDN w:val="0"/>
        <w:adjustRightInd w:val="0"/>
        <w:spacing w:before="240"/>
        <w:jc w:val="both"/>
        <w:rPr>
          <w:rFonts w:ascii="Times New Roman" w:hAnsi="Times New Roman" w:cs="Times New Roman"/>
          <w:color w:val="000000" w:themeColor="text1"/>
        </w:rPr>
      </w:pPr>
    </w:p>
    <w:p w14:paraId="185E530C" w14:textId="2C050134" w:rsidR="00842C1F" w:rsidRPr="009545B7" w:rsidRDefault="00842C1F" w:rsidP="00A95A6A">
      <w:pPr>
        <w:pStyle w:val="Default"/>
        <w:ind w:firstLine="709"/>
        <w:jc w:val="both"/>
        <w:rPr>
          <w:color w:val="000000" w:themeColor="text1"/>
        </w:rPr>
      </w:pPr>
      <w:r w:rsidRPr="009545B7">
        <w:rPr>
          <w:color w:val="000000" w:themeColor="text1"/>
        </w:rPr>
        <w:t>A partir do esquema proposto pelo “Quadro 2</w:t>
      </w:r>
      <w:r w:rsidR="00730D14" w:rsidRPr="009545B7">
        <w:rPr>
          <w:color w:val="000000" w:themeColor="text1"/>
        </w:rPr>
        <w:t>”</w:t>
      </w:r>
      <w:r w:rsidRPr="009545B7">
        <w:rPr>
          <w:color w:val="000000" w:themeColor="text1"/>
        </w:rPr>
        <w:t xml:space="preserve">, objetivou-se aplicar o conhecimento citado no referencial teórico ao ambiente público no qual se insere o Setor de Defesa, gerando </w:t>
      </w:r>
      <w:r w:rsidR="00C53FC1" w:rsidRPr="009545B7">
        <w:rPr>
          <w:color w:val="000000" w:themeColor="text1"/>
        </w:rPr>
        <w:t xml:space="preserve">um modelo que ilustra a forma com a qual a Transparência em Defesa é capaz de contribuir para a consolidação dos direitos democráticos dentro do contexto moderno de </w:t>
      </w:r>
      <w:r w:rsidR="00854E7A" w:rsidRPr="009545B7">
        <w:rPr>
          <w:color w:val="000000" w:themeColor="text1"/>
        </w:rPr>
        <w:t>G</w:t>
      </w:r>
      <w:r w:rsidR="00C53FC1" w:rsidRPr="009545B7">
        <w:rPr>
          <w:color w:val="000000" w:themeColor="text1"/>
        </w:rPr>
        <w:t>overnança.</w:t>
      </w:r>
    </w:p>
    <w:p w14:paraId="75A4C374" w14:textId="7252801E" w:rsidR="00842C1F" w:rsidRPr="009545B7" w:rsidRDefault="00C53FC1" w:rsidP="00A95A6A">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Nesse sentido, segundo Klaus (2016), a transparência possibilita</w:t>
      </w:r>
      <w:r w:rsidR="00842C1F" w:rsidRPr="009545B7">
        <w:rPr>
          <w:rFonts w:ascii="Times New Roman" w:hAnsi="Times New Roman" w:cs="Times New Roman"/>
          <w:color w:val="000000" w:themeColor="text1"/>
          <w:sz w:val="24"/>
          <w:szCs w:val="24"/>
        </w:rPr>
        <w:t xml:space="preserve"> uma supervisão democrática mais eficiente das instituições de defesa e das forças armadas, possibilitando o desenvolvimento de ações cada vez mais  fortalecidas pelo apoio da sociedade civil.</w:t>
      </w:r>
    </w:p>
    <w:p w14:paraId="4CEB4003" w14:textId="7CBF31CA" w:rsidR="00842C1F" w:rsidRPr="009545B7" w:rsidRDefault="00842C1F" w:rsidP="00A95A6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hAnsi="Times New Roman" w:cs="Times New Roman"/>
          <w:color w:val="000000" w:themeColor="text1"/>
          <w:sz w:val="24"/>
          <w:szCs w:val="24"/>
        </w:rPr>
        <w:t xml:space="preserve">Cabe destacar que a definição de </w:t>
      </w:r>
      <w:r w:rsidRPr="009545B7">
        <w:rPr>
          <w:rFonts w:ascii="Times New Roman" w:eastAsia="Times New Roman" w:hAnsi="Times New Roman" w:cs="Times New Roman"/>
          <w:color w:val="000000" w:themeColor="text1"/>
          <w:sz w:val="24"/>
          <w:szCs w:val="24"/>
          <w:lang w:eastAsia="pt-BR"/>
        </w:rPr>
        <w:t xml:space="preserve">transparência é tida como um  “conceito guarda-chuva”, de tal forma que abrange diversas definições. Assim, mais do que o monitoramento e controle de gastos, a Transparência em Defesa abrange elementos que vão além da dimensão do controle. Tal polissemia engloba o acesso à informação e dever de transparência como fatores </w:t>
      </w:r>
      <w:r w:rsidR="00C53FC1" w:rsidRPr="009545B7">
        <w:rPr>
          <w:rFonts w:ascii="Times New Roman" w:eastAsia="Times New Roman" w:hAnsi="Times New Roman" w:cs="Times New Roman"/>
          <w:color w:val="000000" w:themeColor="text1"/>
          <w:sz w:val="24"/>
          <w:szCs w:val="24"/>
          <w:lang w:eastAsia="pt-BR"/>
        </w:rPr>
        <w:t>impulsionadores</w:t>
      </w:r>
      <w:r w:rsidRPr="009545B7">
        <w:rPr>
          <w:rFonts w:ascii="Times New Roman" w:eastAsia="Times New Roman" w:hAnsi="Times New Roman" w:cs="Times New Roman"/>
          <w:color w:val="000000" w:themeColor="text1"/>
          <w:sz w:val="24"/>
          <w:szCs w:val="24"/>
          <w:lang w:eastAsia="pt-BR"/>
        </w:rPr>
        <w:t xml:space="preserve"> </w:t>
      </w:r>
      <w:r w:rsidR="00C53FC1" w:rsidRPr="009545B7">
        <w:rPr>
          <w:rFonts w:ascii="Times New Roman" w:eastAsia="Times New Roman" w:hAnsi="Times New Roman" w:cs="Times New Roman"/>
          <w:color w:val="000000" w:themeColor="text1"/>
          <w:sz w:val="24"/>
          <w:szCs w:val="24"/>
          <w:lang w:eastAsia="pt-BR"/>
        </w:rPr>
        <w:t>do</w:t>
      </w:r>
      <w:r w:rsidRPr="009545B7">
        <w:rPr>
          <w:rFonts w:ascii="Times New Roman" w:eastAsia="Times New Roman" w:hAnsi="Times New Roman" w:cs="Times New Roman"/>
          <w:color w:val="000000" w:themeColor="text1"/>
          <w:sz w:val="24"/>
          <w:szCs w:val="24"/>
          <w:lang w:eastAsia="pt-BR"/>
        </w:rPr>
        <w:t xml:space="preserve"> controle social no Brasil. Contudo, muito mais do que esta definição abordada massivamente na literatura, faz-se mister ressaltar a importância do grau de transparência dada as ações governamentais realizadas por intermédio do MD. </w:t>
      </w:r>
    </w:p>
    <w:p w14:paraId="3E1BA5A8" w14:textId="5775AAE7" w:rsidR="00A65BE2" w:rsidRPr="009545B7" w:rsidRDefault="00731FF3" w:rsidP="00164C5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Nesse sentido, a Análise dos ambientes Interno e Externo do MD constante no PG-MD-2020-2023, evidencia o que foi dito anteriormente no campo “Ameaças”</w:t>
      </w:r>
      <w:r w:rsidR="004B5200">
        <w:rPr>
          <w:rFonts w:ascii="Times New Roman" w:eastAsia="Times New Roman" w:hAnsi="Times New Roman" w:cs="Times New Roman"/>
          <w:color w:val="000000" w:themeColor="text1"/>
          <w:sz w:val="24"/>
          <w:szCs w:val="24"/>
          <w:lang w:eastAsia="pt-BR"/>
        </w:rPr>
        <w:t xml:space="preserve"> </w:t>
      </w:r>
      <w:r w:rsidRPr="009545B7">
        <w:rPr>
          <w:rFonts w:ascii="Times New Roman" w:eastAsia="Times New Roman" w:hAnsi="Times New Roman" w:cs="Times New Roman"/>
          <w:color w:val="000000" w:themeColor="text1"/>
          <w:sz w:val="24"/>
          <w:szCs w:val="24"/>
          <w:lang w:eastAsia="pt-BR"/>
        </w:rPr>
        <w:t>-</w:t>
      </w:r>
      <w:r w:rsidR="004B5200">
        <w:rPr>
          <w:rFonts w:ascii="Times New Roman" w:eastAsia="Times New Roman" w:hAnsi="Times New Roman" w:cs="Times New Roman"/>
          <w:color w:val="000000" w:themeColor="text1"/>
          <w:sz w:val="24"/>
          <w:szCs w:val="24"/>
          <w:lang w:eastAsia="pt-BR"/>
        </w:rPr>
        <w:t xml:space="preserve"> </w:t>
      </w:r>
      <w:r w:rsidRPr="009545B7">
        <w:rPr>
          <w:rFonts w:ascii="Times New Roman" w:eastAsia="Times New Roman" w:hAnsi="Times New Roman" w:cs="Times New Roman"/>
          <w:color w:val="000000" w:themeColor="text1"/>
          <w:sz w:val="24"/>
          <w:szCs w:val="24"/>
          <w:lang w:eastAsia="pt-BR"/>
        </w:rPr>
        <w:t>“Baixo conhecimento sobre os projetos e ações de Defesa”. Tal análise foi realizada através de uma matriz SWOT com participação de representantes dos órgãos componentes do MD.</w:t>
      </w:r>
    </w:p>
    <w:p w14:paraId="6619431B" w14:textId="77777777" w:rsidR="004B5200" w:rsidRDefault="004B5200" w:rsidP="004B5200">
      <w:pPr>
        <w:autoSpaceDE w:val="0"/>
        <w:autoSpaceDN w:val="0"/>
        <w:adjustRightInd w:val="0"/>
        <w:spacing w:after="0" w:line="240" w:lineRule="auto"/>
        <w:ind w:firstLine="0"/>
        <w:rPr>
          <w:rFonts w:ascii="Times New Roman" w:eastAsia="Times New Roman" w:hAnsi="Times New Roman" w:cs="Times New Roman"/>
          <w:color w:val="000000" w:themeColor="text1"/>
          <w:sz w:val="24"/>
          <w:szCs w:val="24"/>
          <w:lang w:eastAsia="pt-BR"/>
        </w:rPr>
      </w:pPr>
    </w:p>
    <w:p w14:paraId="2AA8630E" w14:textId="582A33FD" w:rsidR="00730D14" w:rsidRPr="009545B7" w:rsidRDefault="000214CE" w:rsidP="004B5200">
      <w:pPr>
        <w:tabs>
          <w:tab w:val="left" w:pos="284"/>
        </w:tabs>
        <w:autoSpaceDE w:val="0"/>
        <w:autoSpaceDN w:val="0"/>
        <w:adjustRightInd w:val="0"/>
        <w:spacing w:after="0" w:line="240" w:lineRule="auto"/>
        <w:ind w:firstLine="284"/>
        <w:rPr>
          <w:rFonts w:ascii="Times New Roman" w:hAnsi="Times New Roman" w:cs="Times New Roman"/>
          <w:b/>
          <w:bCs/>
          <w:color w:val="000000" w:themeColor="text1"/>
          <w:sz w:val="20"/>
          <w:szCs w:val="20"/>
        </w:rPr>
      </w:pPr>
      <w:r w:rsidRPr="009545B7">
        <w:rPr>
          <w:rFonts w:ascii="Times New Roman" w:hAnsi="Times New Roman" w:cs="Times New Roman"/>
          <w:b/>
          <w:bCs/>
          <w:color w:val="000000" w:themeColor="text1"/>
          <w:sz w:val="20"/>
          <w:szCs w:val="20"/>
        </w:rPr>
        <w:t>Quadro</w:t>
      </w:r>
      <w:r w:rsidR="00C53FC1" w:rsidRPr="009545B7">
        <w:rPr>
          <w:rFonts w:ascii="Times New Roman" w:hAnsi="Times New Roman" w:cs="Times New Roman"/>
          <w:b/>
          <w:bCs/>
          <w:color w:val="000000" w:themeColor="text1"/>
          <w:sz w:val="20"/>
          <w:szCs w:val="20"/>
        </w:rPr>
        <w:t xml:space="preserve"> </w:t>
      </w:r>
      <w:r w:rsidR="00511457" w:rsidRPr="009545B7">
        <w:rPr>
          <w:rFonts w:ascii="Times New Roman" w:hAnsi="Times New Roman" w:cs="Times New Roman"/>
          <w:b/>
          <w:bCs/>
          <w:color w:val="000000" w:themeColor="text1"/>
          <w:sz w:val="20"/>
          <w:szCs w:val="20"/>
        </w:rPr>
        <w:t>5</w:t>
      </w:r>
      <w:r w:rsidR="00C53FC1" w:rsidRPr="009545B7">
        <w:rPr>
          <w:rFonts w:ascii="Times New Roman" w:hAnsi="Times New Roman" w:cs="Times New Roman"/>
          <w:b/>
          <w:bCs/>
          <w:color w:val="000000" w:themeColor="text1"/>
          <w:sz w:val="20"/>
          <w:szCs w:val="20"/>
        </w:rPr>
        <w:t xml:space="preserve"> – Análise dos ambientes Interno e Externo do MD</w:t>
      </w:r>
    </w:p>
    <w:p w14:paraId="5E235C94" w14:textId="77777777" w:rsidR="001C1C3C" w:rsidRDefault="00C53FC1" w:rsidP="00FA1CFD">
      <w:pPr>
        <w:autoSpaceDE w:val="0"/>
        <w:autoSpaceDN w:val="0"/>
        <w:adjustRightInd w:val="0"/>
        <w:spacing w:after="0" w:line="240" w:lineRule="auto"/>
        <w:ind w:firstLine="0"/>
        <w:jc w:val="center"/>
        <w:rPr>
          <w:rFonts w:ascii="Times New Roman" w:hAnsi="Times New Roman" w:cs="Times New Roman"/>
          <w:color w:val="000000" w:themeColor="text1"/>
          <w:sz w:val="18"/>
          <w:szCs w:val="18"/>
        </w:rPr>
      </w:pPr>
      <w:r w:rsidRPr="009545B7">
        <w:rPr>
          <w:rFonts w:ascii="Times New Roman" w:hAnsi="Times New Roman" w:cs="Times New Roman"/>
          <w:noProof/>
          <w:color w:val="000000" w:themeColor="text1"/>
        </w:rPr>
        <w:drawing>
          <wp:inline distT="0" distB="0" distL="0" distR="0" wp14:anchorId="16DB73D5" wp14:editId="6CA12326">
            <wp:extent cx="5399148" cy="3220085"/>
            <wp:effectExtent l="0" t="0" r="0" b="5715"/>
            <wp:docPr id="2"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2" descr="Tabela&#10;&#10;Descrição gerada automaticamente"/>
                    <pic:cNvPicPr>
                      <a:picLocks noChangeAspect="1" noChangeArrowheads="1"/>
                    </pic:cNvPicPr>
                  </pic:nvPicPr>
                  <pic:blipFill>
                    <a:blip r:embed="rId16"/>
                    <a:stretch>
                      <a:fillRect/>
                    </a:stretch>
                  </pic:blipFill>
                  <pic:spPr bwMode="auto">
                    <a:xfrm>
                      <a:off x="0" y="0"/>
                      <a:ext cx="5449703" cy="3250236"/>
                    </a:xfrm>
                    <a:prstGeom prst="rect">
                      <a:avLst/>
                    </a:prstGeom>
                  </pic:spPr>
                </pic:pic>
              </a:graphicData>
            </a:graphic>
          </wp:inline>
        </w:drawing>
      </w:r>
    </w:p>
    <w:p w14:paraId="714D652C" w14:textId="0DA38464" w:rsidR="00C53FC1" w:rsidRPr="009545B7" w:rsidRDefault="00C53FC1" w:rsidP="00F57610">
      <w:pPr>
        <w:autoSpaceDE w:val="0"/>
        <w:autoSpaceDN w:val="0"/>
        <w:adjustRightInd w:val="0"/>
        <w:spacing w:after="0" w:line="240" w:lineRule="auto"/>
        <w:ind w:firstLine="284"/>
        <w:rPr>
          <w:rFonts w:ascii="Times New Roman" w:eastAsia="Times New Roman" w:hAnsi="Times New Roman" w:cs="Times New Roman"/>
          <w:color w:val="000000" w:themeColor="text1"/>
          <w:lang w:eastAsia="pt-BR"/>
        </w:rPr>
      </w:pPr>
      <w:r w:rsidRPr="009545B7">
        <w:rPr>
          <w:rFonts w:ascii="Times New Roman" w:hAnsi="Times New Roman" w:cs="Times New Roman"/>
          <w:color w:val="000000" w:themeColor="text1"/>
          <w:sz w:val="18"/>
          <w:szCs w:val="18"/>
        </w:rPr>
        <w:t xml:space="preserve">Fonte: </w:t>
      </w:r>
      <w:r w:rsidRPr="009545B7">
        <w:rPr>
          <w:rFonts w:ascii="Times New Roman" w:eastAsia="Times New Roman" w:hAnsi="Times New Roman" w:cs="Times New Roman"/>
          <w:color w:val="000000" w:themeColor="text1"/>
          <w:sz w:val="18"/>
          <w:szCs w:val="18"/>
          <w:lang w:eastAsia="pt-BR"/>
        </w:rPr>
        <w:t>Plano de Gestão do Ministério da Defesa (PG-MD-2020-2023) (BRASIL,</w:t>
      </w:r>
      <w:r w:rsidRPr="009545B7">
        <w:rPr>
          <w:rFonts w:ascii="Times New Roman" w:hAnsi="Times New Roman" w:cs="Times New Roman"/>
          <w:color w:val="000000" w:themeColor="text1"/>
          <w:sz w:val="18"/>
          <w:szCs w:val="18"/>
        </w:rPr>
        <w:t xml:space="preserve"> </w:t>
      </w:r>
      <w:r w:rsidRPr="009545B7">
        <w:rPr>
          <w:rFonts w:ascii="Times New Roman" w:eastAsia="Times New Roman" w:hAnsi="Times New Roman" w:cs="Times New Roman"/>
          <w:color w:val="000000" w:themeColor="text1"/>
          <w:sz w:val="18"/>
          <w:szCs w:val="18"/>
          <w:lang w:eastAsia="pt-BR"/>
        </w:rPr>
        <w:t>20</w:t>
      </w:r>
      <w:r w:rsidRPr="009545B7">
        <w:rPr>
          <w:rFonts w:ascii="Times New Roman" w:hAnsi="Times New Roman" w:cs="Times New Roman"/>
          <w:color w:val="000000" w:themeColor="text1"/>
          <w:sz w:val="18"/>
          <w:szCs w:val="18"/>
        </w:rPr>
        <w:t>21</w:t>
      </w:r>
      <w:r w:rsidRPr="009545B7">
        <w:rPr>
          <w:rFonts w:ascii="Times New Roman" w:eastAsia="Times New Roman" w:hAnsi="Times New Roman" w:cs="Times New Roman"/>
          <w:color w:val="000000" w:themeColor="text1"/>
          <w:sz w:val="18"/>
          <w:szCs w:val="18"/>
          <w:lang w:eastAsia="pt-BR"/>
        </w:rPr>
        <w:t>).</w:t>
      </w:r>
    </w:p>
    <w:p w14:paraId="7FB2A9E6" w14:textId="77777777" w:rsidR="00C53FC1" w:rsidRPr="009545B7" w:rsidRDefault="00C53FC1" w:rsidP="00A95A6A">
      <w:pPr>
        <w:autoSpaceDE w:val="0"/>
        <w:autoSpaceDN w:val="0"/>
        <w:adjustRightInd w:val="0"/>
        <w:spacing w:after="0" w:line="240" w:lineRule="auto"/>
        <w:rPr>
          <w:rFonts w:ascii="Times New Roman" w:hAnsi="Times New Roman" w:cs="Times New Roman"/>
          <w:color w:val="000000" w:themeColor="text1"/>
          <w:sz w:val="24"/>
          <w:szCs w:val="24"/>
        </w:rPr>
      </w:pPr>
    </w:p>
    <w:p w14:paraId="3AFD5B3D" w14:textId="60F74E4C" w:rsidR="00842C1F" w:rsidRPr="009545B7" w:rsidRDefault="00842C1F" w:rsidP="00A95A6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 xml:space="preserve">Cabe, dessa forma, destacar a importância do fomento da fluidez de transmissão desse tipo de informação de maneira ostensiva promovendo, assim, a conscientização acerca da importância do Setor de Defesa perante a Sociedade civil. Somente desta maneira, haverá o desenvolvimento da mentalidade, por parte da sociedade, da importância de aparelhamento e </w:t>
      </w:r>
      <w:r w:rsidRPr="009545B7">
        <w:rPr>
          <w:rFonts w:ascii="Times New Roman" w:eastAsia="Times New Roman" w:hAnsi="Times New Roman" w:cs="Times New Roman"/>
          <w:color w:val="000000" w:themeColor="text1"/>
          <w:sz w:val="24"/>
          <w:szCs w:val="24"/>
          <w:lang w:eastAsia="pt-BR"/>
        </w:rPr>
        <w:lastRenderedPageBreak/>
        <w:t>manutenção d</w:t>
      </w:r>
      <w:r w:rsidR="00C53FC1" w:rsidRPr="009545B7">
        <w:rPr>
          <w:rFonts w:ascii="Times New Roman" w:eastAsia="Times New Roman" w:hAnsi="Times New Roman" w:cs="Times New Roman"/>
          <w:color w:val="000000" w:themeColor="text1"/>
          <w:sz w:val="24"/>
          <w:szCs w:val="24"/>
          <w:lang w:eastAsia="pt-BR"/>
        </w:rPr>
        <w:t xml:space="preserve">os órgãos desse setor </w:t>
      </w:r>
      <w:r w:rsidRPr="009545B7">
        <w:rPr>
          <w:rFonts w:ascii="Times New Roman" w:eastAsia="Times New Roman" w:hAnsi="Times New Roman" w:cs="Times New Roman"/>
          <w:color w:val="000000" w:themeColor="text1"/>
          <w:sz w:val="24"/>
          <w:szCs w:val="24"/>
          <w:lang w:eastAsia="pt-BR"/>
        </w:rPr>
        <w:t>de modo a garantir a eficiência do cumprimento das Políticas de Defesa.</w:t>
      </w:r>
    </w:p>
    <w:p w14:paraId="24A1FC84" w14:textId="10218F0B" w:rsidR="00842C1F" w:rsidRPr="009545B7" w:rsidRDefault="00C53FC1" w:rsidP="00A95A6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pt-BR"/>
        </w:rPr>
      </w:pPr>
      <w:r w:rsidRPr="009545B7">
        <w:rPr>
          <w:rFonts w:ascii="Times New Roman" w:eastAsia="Times New Roman" w:hAnsi="Times New Roman" w:cs="Times New Roman"/>
          <w:color w:val="000000" w:themeColor="text1"/>
          <w:sz w:val="24"/>
          <w:szCs w:val="24"/>
          <w:lang w:eastAsia="pt-BR"/>
        </w:rPr>
        <w:t>Retomando o defendido por Furtado (2020) e Almeida (2015), d</w:t>
      </w:r>
      <w:r w:rsidR="00842C1F" w:rsidRPr="009545B7">
        <w:rPr>
          <w:rFonts w:ascii="Times New Roman" w:eastAsia="Times New Roman" w:hAnsi="Times New Roman" w:cs="Times New Roman"/>
          <w:color w:val="000000" w:themeColor="text1"/>
          <w:sz w:val="24"/>
          <w:szCs w:val="24"/>
          <w:lang w:eastAsia="pt-BR"/>
        </w:rPr>
        <w:t>ada a crescente pressão da opinião e da participação popular, responsáveis por, cada vez mais, influenciar instituições e governos, a transparência faz-se fundamental na Administração Pública, uma vez que, além da relevância no combate à corrupção, auxilia a contribuição tempestiva do cidadão e dos órgãos de controle no fornecimento de condições para que a máquina pública se torne cada vez mais eficiente e efetiva.</w:t>
      </w:r>
    </w:p>
    <w:p w14:paraId="7561271F" w14:textId="4B277AC7" w:rsidR="00842C1F" w:rsidRDefault="00842C1F" w:rsidP="00A95A6A">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Por fim</w:t>
      </w:r>
      <w:r w:rsidR="004B5200">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baseado nas referências bibliográficas de estudos acadêmicos e pelos dados apresentados no GDI</w:t>
      </w:r>
      <w:r w:rsidR="005E6138" w:rsidRPr="009545B7">
        <w:rPr>
          <w:rFonts w:ascii="Times New Roman" w:hAnsi="Times New Roman" w:cs="Times New Roman"/>
          <w:color w:val="000000" w:themeColor="text1"/>
          <w:sz w:val="24"/>
          <w:szCs w:val="24"/>
        </w:rPr>
        <w:t xml:space="preserve"> 2020</w:t>
      </w:r>
      <w:r w:rsidRPr="009545B7">
        <w:rPr>
          <w:rFonts w:ascii="Times New Roman" w:hAnsi="Times New Roman" w:cs="Times New Roman"/>
          <w:color w:val="000000" w:themeColor="text1"/>
          <w:sz w:val="24"/>
          <w:szCs w:val="24"/>
        </w:rPr>
        <w:t>, analisando o caso brasileiro</w:t>
      </w:r>
      <w:r w:rsidR="004B5200">
        <w:rPr>
          <w:rFonts w:ascii="Times New Roman" w:hAnsi="Times New Roman" w:cs="Times New Roman"/>
          <w:color w:val="000000" w:themeColor="text1"/>
          <w:sz w:val="24"/>
          <w:szCs w:val="24"/>
        </w:rPr>
        <w:t>,</w:t>
      </w:r>
      <w:r w:rsidRPr="009545B7">
        <w:rPr>
          <w:rFonts w:ascii="Times New Roman" w:hAnsi="Times New Roman" w:cs="Times New Roman"/>
          <w:color w:val="000000" w:themeColor="text1"/>
          <w:sz w:val="24"/>
          <w:szCs w:val="24"/>
        </w:rPr>
        <w:t xml:space="preserve"> percebe-se o fomento da mentalidade sobre a importância da Transparência Pública e a evolução de mecanismos visando o compartilhamento eficiente e tempestivo de informações</w:t>
      </w:r>
      <w:r w:rsidR="005E6138" w:rsidRPr="009545B7">
        <w:rPr>
          <w:rFonts w:ascii="Times New Roman" w:hAnsi="Times New Roman" w:cs="Times New Roman"/>
          <w:color w:val="000000" w:themeColor="text1"/>
          <w:sz w:val="24"/>
          <w:szCs w:val="24"/>
        </w:rPr>
        <w:t>. Estas atuam</w:t>
      </w:r>
      <w:r w:rsidRPr="009545B7">
        <w:rPr>
          <w:rFonts w:ascii="Times New Roman" w:hAnsi="Times New Roman" w:cs="Times New Roman"/>
          <w:color w:val="000000" w:themeColor="text1"/>
          <w:sz w:val="24"/>
          <w:szCs w:val="24"/>
        </w:rPr>
        <w:t xml:space="preserve"> como vetores de desenvolvimento tanto no que se refere a relações internacionais entre Estados quanto à interaç</w:t>
      </w:r>
      <w:r w:rsidR="005E6138" w:rsidRPr="009545B7">
        <w:rPr>
          <w:rFonts w:ascii="Times New Roman" w:hAnsi="Times New Roman" w:cs="Times New Roman"/>
          <w:color w:val="000000" w:themeColor="text1"/>
          <w:sz w:val="24"/>
          <w:szCs w:val="24"/>
        </w:rPr>
        <w:t xml:space="preserve">ão </w:t>
      </w:r>
      <w:r w:rsidRPr="009545B7">
        <w:rPr>
          <w:rFonts w:ascii="Times New Roman" w:hAnsi="Times New Roman" w:cs="Times New Roman"/>
          <w:color w:val="000000" w:themeColor="text1"/>
          <w:sz w:val="24"/>
          <w:szCs w:val="24"/>
        </w:rPr>
        <w:t>Estado-Cidadão</w:t>
      </w:r>
      <w:r w:rsidR="00C53FC1" w:rsidRPr="009545B7">
        <w:rPr>
          <w:rFonts w:ascii="Times New Roman" w:hAnsi="Times New Roman" w:cs="Times New Roman"/>
          <w:color w:val="000000" w:themeColor="text1"/>
          <w:sz w:val="24"/>
          <w:szCs w:val="24"/>
        </w:rPr>
        <w:t xml:space="preserve">, </w:t>
      </w:r>
      <w:r w:rsidR="005E6138" w:rsidRPr="009545B7">
        <w:rPr>
          <w:rFonts w:ascii="Times New Roman" w:hAnsi="Times New Roman" w:cs="Times New Roman"/>
          <w:color w:val="000000" w:themeColor="text1"/>
          <w:sz w:val="24"/>
          <w:szCs w:val="24"/>
        </w:rPr>
        <w:t xml:space="preserve">tal qual defendido por </w:t>
      </w:r>
      <w:proofErr w:type="spellStart"/>
      <w:r w:rsidR="005E6138" w:rsidRPr="009545B7">
        <w:rPr>
          <w:rFonts w:ascii="Times New Roman" w:hAnsi="Times New Roman" w:cs="Times New Roman"/>
          <w:color w:val="000000" w:themeColor="text1"/>
          <w:sz w:val="24"/>
          <w:szCs w:val="24"/>
        </w:rPr>
        <w:t>Cheung</w:t>
      </w:r>
      <w:proofErr w:type="spellEnd"/>
      <w:r w:rsidR="005E6138" w:rsidRPr="009545B7">
        <w:rPr>
          <w:rFonts w:ascii="Times New Roman" w:hAnsi="Times New Roman" w:cs="Times New Roman"/>
          <w:color w:val="000000" w:themeColor="text1"/>
          <w:sz w:val="24"/>
          <w:szCs w:val="24"/>
        </w:rPr>
        <w:t xml:space="preserve"> e Wilson (2014) e Lindsay (2011). Dessa forma, tais estudos reconhecem a validade da </w:t>
      </w:r>
      <w:r w:rsidR="00124B69" w:rsidRPr="009545B7">
        <w:rPr>
          <w:rFonts w:ascii="Times New Roman" w:hAnsi="Times New Roman" w:cs="Times New Roman"/>
          <w:color w:val="000000" w:themeColor="text1"/>
          <w:sz w:val="24"/>
          <w:szCs w:val="24"/>
        </w:rPr>
        <w:t>t</w:t>
      </w:r>
      <w:r w:rsidR="005E6138" w:rsidRPr="009545B7">
        <w:rPr>
          <w:rFonts w:ascii="Times New Roman" w:hAnsi="Times New Roman" w:cs="Times New Roman"/>
          <w:color w:val="000000" w:themeColor="text1"/>
          <w:sz w:val="24"/>
          <w:szCs w:val="24"/>
        </w:rPr>
        <w:t xml:space="preserve">ransparência como um instrumento de fortalecimento da </w:t>
      </w:r>
      <w:r w:rsidR="00854E7A" w:rsidRPr="009545B7">
        <w:rPr>
          <w:rFonts w:ascii="Times New Roman" w:hAnsi="Times New Roman" w:cs="Times New Roman"/>
          <w:color w:val="000000" w:themeColor="text1"/>
          <w:sz w:val="24"/>
          <w:szCs w:val="24"/>
        </w:rPr>
        <w:t>G</w:t>
      </w:r>
      <w:r w:rsidR="005E6138" w:rsidRPr="009545B7">
        <w:rPr>
          <w:rFonts w:ascii="Times New Roman" w:hAnsi="Times New Roman" w:cs="Times New Roman"/>
          <w:color w:val="000000" w:themeColor="text1"/>
          <w:sz w:val="24"/>
          <w:szCs w:val="24"/>
        </w:rPr>
        <w:t xml:space="preserve">overnança no Setor de Defesa. </w:t>
      </w:r>
      <w:r w:rsidRPr="009545B7">
        <w:rPr>
          <w:rFonts w:ascii="Times New Roman" w:hAnsi="Times New Roman" w:cs="Times New Roman"/>
          <w:color w:val="000000" w:themeColor="text1"/>
          <w:sz w:val="24"/>
          <w:szCs w:val="24"/>
        </w:rPr>
        <w:t xml:space="preserve"> </w:t>
      </w:r>
    </w:p>
    <w:p w14:paraId="4476C502" w14:textId="77777777" w:rsidR="007F2D8B" w:rsidRPr="009545B7" w:rsidRDefault="007F2D8B" w:rsidP="00A95A6A">
      <w:pPr>
        <w:autoSpaceDE w:val="0"/>
        <w:autoSpaceDN w:val="0"/>
        <w:adjustRightInd w:val="0"/>
        <w:spacing w:after="0" w:line="240" w:lineRule="auto"/>
        <w:rPr>
          <w:rFonts w:ascii="Times New Roman" w:hAnsi="Times New Roman" w:cs="Times New Roman"/>
          <w:color w:val="000000" w:themeColor="text1"/>
          <w:sz w:val="24"/>
          <w:szCs w:val="24"/>
        </w:rPr>
      </w:pPr>
    </w:p>
    <w:p w14:paraId="10B28915" w14:textId="7862AA8F" w:rsidR="001C1C3C" w:rsidRDefault="00842C1F" w:rsidP="007F2D8B">
      <w:pPr>
        <w:pStyle w:val="Estilo2"/>
        <w:spacing w:before="0" w:after="0" w:line="240" w:lineRule="auto"/>
        <w:rPr>
          <w:rFonts w:ascii="Times New Roman" w:hAnsi="Times New Roman" w:cs="Times New Roman"/>
          <w:color w:val="000000" w:themeColor="text1"/>
        </w:rPr>
      </w:pPr>
      <w:bookmarkStart w:id="16" w:name="_Toc118763496"/>
      <w:r w:rsidRPr="009545B7">
        <w:rPr>
          <w:rFonts w:ascii="Times New Roman" w:hAnsi="Times New Roman" w:cs="Times New Roman"/>
          <w:color w:val="000000" w:themeColor="text1"/>
        </w:rPr>
        <w:t>5.1 LIMITAÇÃO DO ESTUDO</w:t>
      </w:r>
      <w:bookmarkEnd w:id="16"/>
    </w:p>
    <w:p w14:paraId="7C362A61" w14:textId="77777777" w:rsidR="00AF6410" w:rsidRPr="009545B7" w:rsidRDefault="00AF6410" w:rsidP="007F2D8B">
      <w:pPr>
        <w:pStyle w:val="Estilo2"/>
        <w:spacing w:before="0" w:after="0" w:line="240" w:lineRule="auto"/>
        <w:rPr>
          <w:rFonts w:ascii="Times New Roman" w:hAnsi="Times New Roman" w:cs="Times New Roman"/>
          <w:color w:val="000000" w:themeColor="text1"/>
        </w:rPr>
      </w:pPr>
    </w:p>
    <w:p w14:paraId="08EA9012" w14:textId="77777777" w:rsidR="00842C1F" w:rsidRPr="009545B7" w:rsidRDefault="00842C1F" w:rsidP="007F2D8B">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Este trabalho apresentou como principal empecilho a quantidade limitada de estudos atinentes ao tema proposto. Há poucos autores nacionais que abordam questões relativas à Governança e Transparência em Defesa. Dessa forma, em muitos momentos durante a pesquisa, foi necessário traçar paralelos visando a comparação entre situações baseadas em Setores de Defesa de outros países em relação ao Setor de Defesa nacional brasileiro.  </w:t>
      </w:r>
    </w:p>
    <w:p w14:paraId="29A5B664" w14:textId="2167C595" w:rsidR="00842C1F" w:rsidRPr="009545B7" w:rsidRDefault="00842C1F" w:rsidP="00A95A6A">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 xml:space="preserve">Além disto, a discussão acerca da </w:t>
      </w:r>
      <w:r w:rsidR="00854E7A" w:rsidRPr="009545B7">
        <w:rPr>
          <w:rFonts w:ascii="Times New Roman" w:hAnsi="Times New Roman" w:cs="Times New Roman"/>
          <w:color w:val="000000" w:themeColor="text1"/>
          <w:sz w:val="24"/>
          <w:szCs w:val="24"/>
        </w:rPr>
        <w:t>G</w:t>
      </w:r>
      <w:r w:rsidRPr="009545B7">
        <w:rPr>
          <w:rFonts w:ascii="Times New Roman" w:hAnsi="Times New Roman" w:cs="Times New Roman"/>
          <w:color w:val="000000" w:themeColor="text1"/>
          <w:sz w:val="24"/>
          <w:szCs w:val="24"/>
        </w:rPr>
        <w:t xml:space="preserve">overnança, no Brasil, teve início nos anos finais do século passado e, é ainda mais recentemente o início de estudos relacionados à </w:t>
      </w:r>
      <w:r w:rsidR="00124B69" w:rsidRPr="009545B7">
        <w:rPr>
          <w:rFonts w:ascii="Times New Roman" w:hAnsi="Times New Roman" w:cs="Times New Roman"/>
          <w:color w:val="000000" w:themeColor="text1"/>
          <w:sz w:val="24"/>
          <w:szCs w:val="24"/>
        </w:rPr>
        <w:t>t</w:t>
      </w:r>
      <w:r w:rsidRPr="009545B7">
        <w:rPr>
          <w:rFonts w:ascii="Times New Roman" w:hAnsi="Times New Roman" w:cs="Times New Roman"/>
          <w:color w:val="000000" w:themeColor="text1"/>
          <w:sz w:val="24"/>
          <w:szCs w:val="24"/>
        </w:rPr>
        <w:t>ransparência com ênfase em um Setor tão especifico quanto o de Defesa. Assim, a principal dificuldade foi a quantidade limitada de material que abordasse os conceitos citados durante o estudo, de forma compilada e concisa. Na maior parte deste material, os conceitos encontravam-se fracionados pelos artigos selecionados metodologicamente.</w:t>
      </w:r>
    </w:p>
    <w:p w14:paraId="63898F2F" w14:textId="77777777" w:rsidR="00FA1CFD" w:rsidRPr="009545B7" w:rsidRDefault="00FA1CFD" w:rsidP="00A95A6A">
      <w:pPr>
        <w:autoSpaceDE w:val="0"/>
        <w:autoSpaceDN w:val="0"/>
        <w:adjustRightInd w:val="0"/>
        <w:spacing w:after="0" w:line="240" w:lineRule="auto"/>
        <w:rPr>
          <w:rFonts w:ascii="Times New Roman" w:hAnsi="Times New Roman" w:cs="Times New Roman"/>
          <w:color w:val="000000" w:themeColor="text1"/>
          <w:sz w:val="24"/>
          <w:szCs w:val="24"/>
        </w:rPr>
      </w:pPr>
    </w:p>
    <w:p w14:paraId="095AC268" w14:textId="77957146" w:rsidR="001C1C3C" w:rsidRDefault="00842C1F" w:rsidP="00FA1CFD">
      <w:pPr>
        <w:pStyle w:val="Estilo2"/>
        <w:spacing w:before="0" w:after="0" w:line="240" w:lineRule="auto"/>
        <w:rPr>
          <w:rFonts w:ascii="Times New Roman" w:hAnsi="Times New Roman" w:cs="Times New Roman"/>
          <w:color w:val="000000" w:themeColor="text1"/>
        </w:rPr>
      </w:pPr>
      <w:bookmarkStart w:id="17" w:name="_Toc118763497"/>
      <w:r w:rsidRPr="009545B7">
        <w:rPr>
          <w:rFonts w:ascii="Times New Roman" w:hAnsi="Times New Roman" w:cs="Times New Roman"/>
          <w:color w:val="000000" w:themeColor="text1"/>
        </w:rPr>
        <w:t>5.2 SUGESTÃO PARA PESQUISAS FUTURAS</w:t>
      </w:r>
      <w:bookmarkEnd w:id="17"/>
    </w:p>
    <w:p w14:paraId="3B2793EC" w14:textId="77777777" w:rsidR="00AF6410" w:rsidRPr="009545B7" w:rsidRDefault="00AF6410" w:rsidP="00FA1CFD">
      <w:pPr>
        <w:pStyle w:val="Estilo2"/>
        <w:spacing w:before="0" w:after="0" w:line="240" w:lineRule="auto"/>
        <w:rPr>
          <w:rFonts w:ascii="Times New Roman" w:hAnsi="Times New Roman" w:cs="Times New Roman"/>
          <w:color w:val="000000" w:themeColor="text1"/>
        </w:rPr>
      </w:pPr>
    </w:p>
    <w:p w14:paraId="22F7C441" w14:textId="3DFABE28" w:rsidR="00842C1F" w:rsidRDefault="00842C1F" w:rsidP="00FA1CFD">
      <w:pPr>
        <w:autoSpaceDE w:val="0"/>
        <w:autoSpaceDN w:val="0"/>
        <w:adjustRightInd w:val="0"/>
        <w:spacing w:after="0" w:line="240" w:lineRule="auto"/>
        <w:rPr>
          <w:rFonts w:ascii="Times New Roman" w:hAnsi="Times New Roman" w:cs="Times New Roman"/>
          <w:color w:val="000000" w:themeColor="text1"/>
          <w:sz w:val="24"/>
          <w:szCs w:val="24"/>
        </w:rPr>
      </w:pPr>
      <w:r w:rsidRPr="009545B7">
        <w:rPr>
          <w:rFonts w:ascii="Times New Roman" w:hAnsi="Times New Roman" w:cs="Times New Roman"/>
          <w:color w:val="000000" w:themeColor="text1"/>
          <w:sz w:val="24"/>
          <w:szCs w:val="24"/>
        </w:rPr>
        <w:t>Com a elaboração deste estudo espera-se que possam ocorrer mais estudos atinentes ao tema Defesa Nacional</w:t>
      </w:r>
      <w:r w:rsidR="006F48D2" w:rsidRPr="009545B7">
        <w:rPr>
          <w:rFonts w:ascii="Times New Roman" w:hAnsi="Times New Roman" w:cs="Times New Roman"/>
          <w:color w:val="000000" w:themeColor="text1"/>
          <w:sz w:val="24"/>
          <w:szCs w:val="24"/>
        </w:rPr>
        <w:t xml:space="preserve">. </w:t>
      </w:r>
      <w:r w:rsidRPr="009545B7">
        <w:rPr>
          <w:rFonts w:ascii="Times New Roman" w:hAnsi="Times New Roman" w:cs="Times New Roman"/>
          <w:color w:val="000000" w:themeColor="text1"/>
          <w:sz w:val="24"/>
          <w:szCs w:val="24"/>
        </w:rPr>
        <w:t>A dinamização de uma agenda de pesquisa neste campo expressa a força de uma área acadêmica emergente e de expansão latente no Brasil, uma vez que os Estudos de Defesa se desenvolvem paulatinamente de acordo com a evolução da conjuntura política do pa</w:t>
      </w:r>
      <w:r w:rsidR="005E6138" w:rsidRPr="009545B7">
        <w:rPr>
          <w:rFonts w:ascii="Times New Roman" w:hAnsi="Times New Roman" w:cs="Times New Roman"/>
          <w:color w:val="000000" w:themeColor="text1"/>
          <w:sz w:val="24"/>
          <w:szCs w:val="24"/>
        </w:rPr>
        <w:t>í</w:t>
      </w:r>
      <w:r w:rsidRPr="009545B7">
        <w:rPr>
          <w:rFonts w:ascii="Times New Roman" w:hAnsi="Times New Roman" w:cs="Times New Roman"/>
          <w:color w:val="000000" w:themeColor="text1"/>
          <w:sz w:val="24"/>
          <w:szCs w:val="24"/>
        </w:rPr>
        <w:t xml:space="preserve">s e do processo de institucionalização do Setor de Defesa nacional, os quais exigem uma reflexão qualificada sobre as  novas questões que a realidade expressa. Assim, como sugestão, ressalta-se a importância de um possível estudo acerca da Governança em Defesa, mas sob o viés da relação civil-militar mais aprofundada, tendo como base os estudos seminais de Huntington (1986). </w:t>
      </w:r>
    </w:p>
    <w:p w14:paraId="575DE796" w14:textId="77777777" w:rsidR="00E107AD" w:rsidRPr="009545B7" w:rsidRDefault="00E107AD" w:rsidP="00FA1CFD">
      <w:pPr>
        <w:autoSpaceDE w:val="0"/>
        <w:autoSpaceDN w:val="0"/>
        <w:adjustRightInd w:val="0"/>
        <w:spacing w:after="0" w:line="240" w:lineRule="auto"/>
        <w:rPr>
          <w:rFonts w:ascii="Times New Roman" w:hAnsi="Times New Roman" w:cs="Times New Roman"/>
          <w:color w:val="000000" w:themeColor="text1"/>
          <w:sz w:val="24"/>
          <w:szCs w:val="24"/>
        </w:rPr>
      </w:pPr>
    </w:p>
    <w:p w14:paraId="363C96E3" w14:textId="64E7496D" w:rsidR="001C1C3C" w:rsidRDefault="00842C1F" w:rsidP="00E107AD">
      <w:pPr>
        <w:pStyle w:val="Estilo1"/>
        <w:spacing w:before="0"/>
        <w:rPr>
          <w:rFonts w:ascii="Times New Roman" w:hAnsi="Times New Roman" w:cs="Times New Roman"/>
          <w:color w:val="000000" w:themeColor="text1"/>
        </w:rPr>
      </w:pPr>
      <w:bookmarkStart w:id="18" w:name="_Toc118763498"/>
      <w:r w:rsidRPr="009545B7">
        <w:rPr>
          <w:rFonts w:ascii="Times New Roman" w:hAnsi="Times New Roman" w:cs="Times New Roman"/>
          <w:color w:val="000000" w:themeColor="text1"/>
        </w:rPr>
        <w:t>6 REFERÊNCIAS BIBLIOGRÁFICAS</w:t>
      </w:r>
      <w:bookmarkEnd w:id="18"/>
    </w:p>
    <w:p w14:paraId="17F8C719" w14:textId="77777777" w:rsidR="00E107AD" w:rsidRPr="009545B7" w:rsidRDefault="00E107AD" w:rsidP="00E107AD">
      <w:pPr>
        <w:pStyle w:val="Estilo1"/>
        <w:spacing w:before="0"/>
        <w:rPr>
          <w:rFonts w:ascii="Times New Roman" w:hAnsi="Times New Roman" w:cs="Times New Roman"/>
          <w:color w:val="000000" w:themeColor="text1"/>
        </w:rPr>
      </w:pPr>
    </w:p>
    <w:p w14:paraId="203847F4" w14:textId="6218DC52" w:rsidR="00F86F5C" w:rsidRPr="009545B7" w:rsidRDefault="00842C1F" w:rsidP="007F2D8B">
      <w:pPr>
        <w:pStyle w:val="Default"/>
        <w:rPr>
          <w:color w:val="000000" w:themeColor="text1"/>
        </w:rPr>
      </w:pPr>
      <w:r w:rsidRPr="009545B7">
        <w:rPr>
          <w:color w:val="000000" w:themeColor="text1"/>
        </w:rPr>
        <w:t xml:space="preserve">ALMEIDA, C. W. L. Controle Externo e Controle Interno da Defesa: Confiança e parceria para o aperfeiçoamento da gestão. </w:t>
      </w:r>
      <w:r w:rsidRPr="009545B7">
        <w:rPr>
          <w:b/>
          <w:bCs/>
          <w:color w:val="000000" w:themeColor="text1"/>
        </w:rPr>
        <w:t>Revista do TCU</w:t>
      </w:r>
      <w:r w:rsidRPr="009545B7">
        <w:rPr>
          <w:color w:val="000000" w:themeColor="text1"/>
        </w:rPr>
        <w:t xml:space="preserve">. n. 132, p. 38-47, 25 jan. 2015. </w:t>
      </w:r>
    </w:p>
    <w:p w14:paraId="6EC920B6" w14:textId="77777777" w:rsidR="00412132" w:rsidRPr="009545B7" w:rsidRDefault="00412132" w:rsidP="007F2D8B">
      <w:pPr>
        <w:pStyle w:val="Default"/>
        <w:rPr>
          <w:color w:val="000000" w:themeColor="text1"/>
        </w:rPr>
      </w:pPr>
    </w:p>
    <w:p w14:paraId="0F9426E2" w14:textId="21728CDB"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ALMEIDA, C. W. L . Transparência e controle na gestão da Defesa. </w:t>
      </w:r>
      <w:r w:rsidRPr="009545B7">
        <w:rPr>
          <w:rFonts w:eastAsia="Times New Roman"/>
          <w:b/>
          <w:bCs/>
          <w:color w:val="000000" w:themeColor="text1"/>
        </w:rPr>
        <w:t>Revista Teoria &amp; Pesquisa</w:t>
      </w:r>
      <w:r w:rsidRPr="009545B7">
        <w:rPr>
          <w:rFonts w:eastAsia="Times New Roman"/>
          <w:color w:val="000000" w:themeColor="text1"/>
        </w:rPr>
        <w:t xml:space="preserve">. v. 1, n. 46, p. 38-47, 01 jan. 2005. </w:t>
      </w:r>
    </w:p>
    <w:p w14:paraId="4292703F" w14:textId="77777777" w:rsidR="0043149E" w:rsidRPr="009545B7" w:rsidRDefault="0043149E" w:rsidP="007F2D8B">
      <w:pPr>
        <w:pStyle w:val="Default"/>
        <w:rPr>
          <w:color w:val="000000" w:themeColor="text1"/>
        </w:rPr>
      </w:pPr>
    </w:p>
    <w:p w14:paraId="41A459A8" w14:textId="77777777"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BARDIN, L.  </w:t>
      </w:r>
      <w:r w:rsidRPr="009545B7">
        <w:rPr>
          <w:rFonts w:eastAsia="Times New Roman"/>
          <w:b/>
          <w:bCs/>
          <w:color w:val="000000" w:themeColor="text1"/>
        </w:rPr>
        <w:t>Análise de Conteúdo</w:t>
      </w:r>
      <w:r w:rsidRPr="009545B7">
        <w:rPr>
          <w:rFonts w:eastAsia="Times New Roman"/>
          <w:color w:val="000000" w:themeColor="text1"/>
        </w:rPr>
        <w:t>. Tradução de Luís Antero Reto. São Paulo: 1 edição, Almedina Brasil, 2011.</w:t>
      </w:r>
    </w:p>
    <w:p w14:paraId="59106CA7" w14:textId="608A57FD"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lang w:val="en-US"/>
        </w:rPr>
        <w:t xml:space="preserve">BARNARD-WILLS, D. Security, privacy and surveillance in European policy documents. </w:t>
      </w:r>
      <w:r w:rsidRPr="009545B7">
        <w:rPr>
          <w:rFonts w:eastAsia="Times New Roman"/>
          <w:b/>
          <w:bCs/>
          <w:color w:val="000000" w:themeColor="text1"/>
          <w:lang w:val="en-US"/>
        </w:rPr>
        <w:t>International Data Privacy Law</w:t>
      </w:r>
      <w:r w:rsidRPr="009545B7">
        <w:rPr>
          <w:rFonts w:eastAsia="Times New Roman"/>
          <w:color w:val="000000" w:themeColor="text1"/>
          <w:lang w:val="en-US"/>
        </w:rPr>
        <w:t xml:space="preserve">. </w:t>
      </w:r>
      <w:r w:rsidRPr="009545B7">
        <w:rPr>
          <w:rStyle w:val="apple-converted-space"/>
          <w:color w:val="000000" w:themeColor="text1"/>
          <w:shd w:val="clear" w:color="auto" w:fill="FFFFFF"/>
          <w:lang w:val="en-US"/>
        </w:rPr>
        <w:t> </w:t>
      </w:r>
      <w:r w:rsidRPr="009545B7">
        <w:rPr>
          <w:color w:val="000000" w:themeColor="text1"/>
          <w:shd w:val="clear" w:color="auto" w:fill="FFFFFF"/>
          <w:lang w:val="en-US"/>
        </w:rPr>
        <w:t>[</w:t>
      </w:r>
      <w:proofErr w:type="spellStart"/>
      <w:r w:rsidRPr="009545B7">
        <w:rPr>
          <w:color w:val="000000" w:themeColor="text1"/>
          <w:lang w:val="en-US"/>
        </w:rPr>
        <w:t>s.l.</w:t>
      </w:r>
      <w:proofErr w:type="spellEnd"/>
      <w:r w:rsidRPr="009545B7">
        <w:rPr>
          <w:color w:val="000000" w:themeColor="text1"/>
          <w:shd w:val="clear" w:color="auto" w:fill="FFFFFF"/>
          <w:lang w:val="en-US"/>
        </w:rPr>
        <w:t>]</w:t>
      </w:r>
      <w:r w:rsidRPr="009545B7">
        <w:rPr>
          <w:rFonts w:eastAsia="Times New Roman"/>
          <w:color w:val="000000" w:themeColor="text1"/>
          <w:lang w:val="en-US"/>
        </w:rPr>
        <w:t>, v.3, n.3, p.170-180. 01 ago. 2013</w:t>
      </w:r>
      <w:r w:rsidR="00F86F5C" w:rsidRPr="009545B7">
        <w:rPr>
          <w:rFonts w:eastAsia="Times New Roman"/>
          <w:color w:val="000000" w:themeColor="text1"/>
          <w:lang w:val="en-US"/>
        </w:rPr>
        <w:t>.</w:t>
      </w:r>
    </w:p>
    <w:p w14:paraId="02C6C1F1" w14:textId="77777777" w:rsidR="0043149E" w:rsidRPr="009545B7" w:rsidRDefault="0043149E" w:rsidP="007F2D8B">
      <w:pPr>
        <w:pStyle w:val="Default"/>
        <w:rPr>
          <w:color w:val="000000" w:themeColor="text1"/>
          <w:lang w:val="en-US"/>
        </w:rPr>
      </w:pPr>
    </w:p>
    <w:p w14:paraId="66252EB6" w14:textId="4C87035B" w:rsidR="00842C1F" w:rsidRPr="009545B7" w:rsidRDefault="00842C1F" w:rsidP="007F2D8B">
      <w:pPr>
        <w:pStyle w:val="Default"/>
        <w:rPr>
          <w:color w:val="000000" w:themeColor="text1"/>
          <w:lang w:val="en-US"/>
        </w:rPr>
      </w:pPr>
      <w:r w:rsidRPr="009545B7">
        <w:rPr>
          <w:color w:val="000000" w:themeColor="text1"/>
          <w:lang w:val="en-US"/>
        </w:rPr>
        <w:t>BELL, S. R.; MACHAIN, C. M. Democracy, transparency, and secrecy in crisis</w:t>
      </w:r>
      <w:r w:rsidRPr="009545B7">
        <w:rPr>
          <w:b/>
          <w:bCs/>
          <w:color w:val="000000" w:themeColor="text1"/>
          <w:lang w:val="en-US"/>
        </w:rPr>
        <w:t>. Foreign Policy Analysis.</w:t>
      </w:r>
      <w:r w:rsidRPr="009545B7">
        <w:rPr>
          <w:color w:val="000000" w:themeColor="text1"/>
          <w:lang w:val="en-US"/>
        </w:rPr>
        <w:t xml:space="preserve"> [</w:t>
      </w:r>
      <w:proofErr w:type="spellStart"/>
      <w:r w:rsidRPr="009545B7">
        <w:rPr>
          <w:color w:val="000000" w:themeColor="text1"/>
          <w:lang w:val="en-US"/>
        </w:rPr>
        <w:t>s.l</w:t>
      </w:r>
      <w:proofErr w:type="spellEnd"/>
      <w:r w:rsidRPr="009545B7">
        <w:rPr>
          <w:color w:val="000000" w:themeColor="text1"/>
          <w:lang w:val="en-US"/>
        </w:rPr>
        <w:t>]. v</w:t>
      </w:r>
      <w:r w:rsidR="009545B7">
        <w:rPr>
          <w:color w:val="000000" w:themeColor="text1"/>
          <w:lang w:val="en-US"/>
        </w:rPr>
        <w:t>.</w:t>
      </w:r>
      <w:r w:rsidRPr="009545B7">
        <w:rPr>
          <w:color w:val="000000" w:themeColor="text1"/>
          <w:lang w:val="en-US"/>
        </w:rPr>
        <w:t xml:space="preserve"> 14, n</w:t>
      </w:r>
      <w:r w:rsidR="009545B7">
        <w:rPr>
          <w:color w:val="000000" w:themeColor="text1"/>
          <w:lang w:val="en-US"/>
        </w:rPr>
        <w:t>.</w:t>
      </w:r>
      <w:r w:rsidRPr="009545B7">
        <w:rPr>
          <w:color w:val="000000" w:themeColor="text1"/>
          <w:lang w:val="en-US"/>
        </w:rPr>
        <w:t xml:space="preserve"> 4, p</w:t>
      </w:r>
      <w:r w:rsidR="009545B7">
        <w:rPr>
          <w:color w:val="000000" w:themeColor="text1"/>
          <w:lang w:val="en-US"/>
        </w:rPr>
        <w:t xml:space="preserve">. </w:t>
      </w:r>
      <w:r w:rsidRPr="009545B7">
        <w:rPr>
          <w:color w:val="000000" w:themeColor="text1"/>
          <w:lang w:val="en-US"/>
        </w:rPr>
        <w:t>592-602. 30 abr. 2018</w:t>
      </w:r>
      <w:r w:rsidR="00F86F5C" w:rsidRPr="009545B7">
        <w:rPr>
          <w:color w:val="000000" w:themeColor="text1"/>
          <w:lang w:val="en-US"/>
        </w:rPr>
        <w:t>.</w:t>
      </w:r>
      <w:r w:rsidRPr="009545B7">
        <w:rPr>
          <w:color w:val="000000" w:themeColor="text1"/>
          <w:lang w:val="en-US"/>
        </w:rPr>
        <w:t xml:space="preserve"> </w:t>
      </w:r>
    </w:p>
    <w:p w14:paraId="7A4481D4" w14:textId="77777777" w:rsidR="0043149E" w:rsidRPr="009545B7" w:rsidRDefault="0043149E" w:rsidP="007F2D8B">
      <w:pPr>
        <w:pStyle w:val="Default"/>
        <w:rPr>
          <w:color w:val="000000" w:themeColor="text1"/>
          <w:lang w:val="en-US"/>
        </w:rPr>
      </w:pPr>
    </w:p>
    <w:p w14:paraId="3B7DF979" w14:textId="04646929" w:rsidR="00842C1F" w:rsidRPr="009545B7" w:rsidRDefault="00842C1F" w:rsidP="007F2D8B">
      <w:pPr>
        <w:pStyle w:val="Default"/>
        <w:rPr>
          <w:color w:val="000000" w:themeColor="text1"/>
          <w:lang w:val="en-US"/>
        </w:rPr>
      </w:pPr>
      <w:r w:rsidRPr="009545B7">
        <w:rPr>
          <w:color w:val="000000" w:themeColor="text1"/>
          <w:lang w:val="en-US"/>
        </w:rPr>
        <w:t xml:space="preserve">BERNSTEIN, E. S. Making transparency transparent: The evolution of observation in management theory. </w:t>
      </w:r>
      <w:r w:rsidRPr="009545B7">
        <w:rPr>
          <w:b/>
          <w:bCs/>
          <w:color w:val="000000" w:themeColor="text1"/>
          <w:lang w:val="en-US"/>
        </w:rPr>
        <w:t>Academy of Management Annals</w:t>
      </w:r>
      <w:r w:rsidRPr="009545B7">
        <w:rPr>
          <w:color w:val="000000" w:themeColor="text1"/>
          <w:lang w:val="en-US"/>
        </w:rPr>
        <w:t>, [</w:t>
      </w:r>
      <w:proofErr w:type="spellStart"/>
      <w:r w:rsidRPr="009545B7">
        <w:rPr>
          <w:color w:val="000000" w:themeColor="text1"/>
          <w:lang w:val="en-US"/>
        </w:rPr>
        <w:t>s.l</w:t>
      </w:r>
      <w:proofErr w:type="spellEnd"/>
      <w:r w:rsidRPr="009545B7">
        <w:rPr>
          <w:color w:val="000000" w:themeColor="text1"/>
          <w:lang w:val="en-US"/>
        </w:rPr>
        <w:t>]. v</w:t>
      </w:r>
      <w:r w:rsidR="009545B7">
        <w:rPr>
          <w:color w:val="000000" w:themeColor="text1"/>
          <w:lang w:val="en-US"/>
        </w:rPr>
        <w:t>.</w:t>
      </w:r>
      <w:r w:rsidRPr="009545B7">
        <w:rPr>
          <w:color w:val="000000" w:themeColor="text1"/>
          <w:lang w:val="en-US"/>
        </w:rPr>
        <w:t xml:space="preserve"> 11, n</w:t>
      </w:r>
      <w:r w:rsidR="009545B7">
        <w:rPr>
          <w:color w:val="000000" w:themeColor="text1"/>
          <w:lang w:val="en-US"/>
        </w:rPr>
        <w:t xml:space="preserve">. </w:t>
      </w:r>
      <w:r w:rsidRPr="009545B7">
        <w:rPr>
          <w:color w:val="000000" w:themeColor="text1"/>
          <w:lang w:val="en-US"/>
        </w:rPr>
        <w:t>1, p</w:t>
      </w:r>
      <w:r w:rsidR="009545B7">
        <w:rPr>
          <w:color w:val="000000" w:themeColor="text1"/>
          <w:lang w:val="en-US"/>
        </w:rPr>
        <w:t xml:space="preserve">. </w:t>
      </w:r>
      <w:r w:rsidRPr="009545B7">
        <w:rPr>
          <w:color w:val="000000" w:themeColor="text1"/>
          <w:lang w:val="en-US"/>
        </w:rPr>
        <w:t>217-266. 21 out. 2016</w:t>
      </w:r>
      <w:r w:rsidR="00F86F5C" w:rsidRPr="009545B7">
        <w:rPr>
          <w:color w:val="000000" w:themeColor="text1"/>
          <w:lang w:val="en-US"/>
        </w:rPr>
        <w:t>.</w:t>
      </w:r>
    </w:p>
    <w:p w14:paraId="0BE72062" w14:textId="77777777" w:rsidR="0043149E" w:rsidRPr="009545B7" w:rsidRDefault="0043149E" w:rsidP="007F2D8B">
      <w:pPr>
        <w:pStyle w:val="Default"/>
        <w:rPr>
          <w:color w:val="000000" w:themeColor="text1"/>
          <w:lang w:val="en-US"/>
        </w:rPr>
      </w:pPr>
    </w:p>
    <w:p w14:paraId="6AD86C5F" w14:textId="3CD20E8B" w:rsidR="00842C1F" w:rsidRPr="009545B7" w:rsidRDefault="00842C1F" w:rsidP="007F2D8B">
      <w:pPr>
        <w:pStyle w:val="Default"/>
        <w:rPr>
          <w:color w:val="000000" w:themeColor="text1"/>
        </w:rPr>
      </w:pPr>
      <w:r w:rsidRPr="009545B7">
        <w:rPr>
          <w:color w:val="000000" w:themeColor="text1"/>
        </w:rPr>
        <w:t>BRASIL.</w:t>
      </w:r>
      <w:r w:rsidRPr="009545B7">
        <w:rPr>
          <w:b/>
          <w:bCs/>
          <w:color w:val="000000" w:themeColor="text1"/>
        </w:rPr>
        <w:t xml:space="preserve"> </w:t>
      </w:r>
      <w:hyperlink r:id="rId17" w:history="1">
        <w:r w:rsidRPr="009545B7">
          <w:rPr>
            <w:b/>
            <w:bCs/>
            <w:color w:val="000000" w:themeColor="text1"/>
          </w:rPr>
          <w:t>Decreto Nº  7.724, de 16 de maio de 2012</w:t>
        </w:r>
      </w:hyperlink>
      <w:r w:rsidRPr="009545B7">
        <w:rPr>
          <w:color w:val="000000" w:themeColor="text1"/>
        </w:rPr>
        <w:t>. Regulamenta a Lei nº 12.527, de 18 de novembro de 2011. Brasília,  DF , 2012. Disponível em: http://www.planalto.gov.br/ccivil_03/_ato2011-2014/2012/decreto/d7724.htm. Acesso em: 12 set. 2022.</w:t>
      </w:r>
    </w:p>
    <w:p w14:paraId="6184B426" w14:textId="77777777" w:rsidR="0043149E" w:rsidRPr="009545B7" w:rsidRDefault="0043149E" w:rsidP="007F2D8B">
      <w:pPr>
        <w:pStyle w:val="Default"/>
        <w:rPr>
          <w:color w:val="000000" w:themeColor="text1"/>
        </w:rPr>
      </w:pPr>
    </w:p>
    <w:p w14:paraId="145B13D5" w14:textId="3B0004D9" w:rsidR="00332D3F" w:rsidRPr="009545B7" w:rsidRDefault="00842C1F" w:rsidP="007F2D8B">
      <w:pPr>
        <w:pStyle w:val="Default"/>
        <w:rPr>
          <w:color w:val="000000" w:themeColor="text1"/>
        </w:rPr>
      </w:pPr>
      <w:r w:rsidRPr="009545B7">
        <w:rPr>
          <w:color w:val="000000" w:themeColor="text1"/>
        </w:rPr>
        <w:t xml:space="preserve">BRASIL. </w:t>
      </w:r>
      <w:r w:rsidRPr="009545B7">
        <w:rPr>
          <w:b/>
          <w:bCs/>
          <w:color w:val="000000" w:themeColor="text1"/>
        </w:rPr>
        <w:t>Decreto Nº 9.203, de 22 de novembro de 2017</w:t>
      </w:r>
      <w:r w:rsidRPr="009545B7">
        <w:rPr>
          <w:color w:val="000000" w:themeColor="text1"/>
        </w:rPr>
        <w:t>. Dispõe sobre a política de governança da administração pública federal direta, autárquica e fundacional.</w:t>
      </w:r>
      <w:r w:rsidR="005F278B" w:rsidRPr="009545B7">
        <w:rPr>
          <w:color w:val="000000" w:themeColor="text1"/>
        </w:rPr>
        <w:t xml:space="preserve"> </w:t>
      </w:r>
      <w:r w:rsidRPr="009545B7">
        <w:rPr>
          <w:color w:val="000000" w:themeColor="text1"/>
        </w:rPr>
        <w:t>Brasília, DF, 2017. Disponível em: http://www.planalto.gov.br/ccivil_03/_ato20152018/2017/decreto/d9203.htm. Acesso em: 8 set. 2022.</w:t>
      </w:r>
    </w:p>
    <w:p w14:paraId="0AC6DA05" w14:textId="77777777" w:rsidR="0043149E" w:rsidRPr="009545B7" w:rsidRDefault="0043149E" w:rsidP="007F2D8B">
      <w:pPr>
        <w:pStyle w:val="Default"/>
        <w:rPr>
          <w:color w:val="000000" w:themeColor="text1"/>
        </w:rPr>
      </w:pPr>
    </w:p>
    <w:p w14:paraId="3F055192" w14:textId="09A6957C" w:rsidR="00842C1F" w:rsidRPr="009545B7" w:rsidRDefault="00842C1F" w:rsidP="007F2D8B">
      <w:pPr>
        <w:pStyle w:val="Default"/>
        <w:rPr>
          <w:color w:val="000000" w:themeColor="text1"/>
        </w:rPr>
      </w:pPr>
      <w:r w:rsidRPr="009545B7">
        <w:rPr>
          <w:color w:val="000000" w:themeColor="text1"/>
        </w:rPr>
        <w:t>BRASIL.</w:t>
      </w:r>
      <w:r w:rsidRPr="009545B7">
        <w:rPr>
          <w:b/>
          <w:bCs/>
          <w:color w:val="000000" w:themeColor="text1"/>
        </w:rPr>
        <w:t xml:space="preserve"> Lei Complementar Nº 101, de 4 de maio de 2000</w:t>
      </w:r>
      <w:r w:rsidRPr="009545B7">
        <w:rPr>
          <w:color w:val="000000" w:themeColor="text1"/>
        </w:rPr>
        <w:t>. Estabelece normas de finanças públicas voltadas para a responsabilidade na gestão fiscal e dá outras providências. Brasília, 2000. Disponível em:</w:t>
      </w:r>
      <w:r w:rsidR="003F2E84" w:rsidRPr="009545B7">
        <w:rPr>
          <w:color w:val="000000" w:themeColor="text1"/>
        </w:rPr>
        <w:t xml:space="preserve"> </w:t>
      </w:r>
      <w:r w:rsidRPr="009545B7">
        <w:rPr>
          <w:color w:val="000000" w:themeColor="text1"/>
        </w:rPr>
        <w:t>http://www.planalto.gov.br/ccivil_03/leis/lcp/lcp101.htm. Acesso em: 10 out. 2022.</w:t>
      </w:r>
    </w:p>
    <w:p w14:paraId="56C17B34" w14:textId="77777777" w:rsidR="0043149E" w:rsidRPr="009545B7" w:rsidRDefault="0043149E" w:rsidP="007F2D8B">
      <w:pPr>
        <w:pStyle w:val="Default"/>
        <w:rPr>
          <w:color w:val="000000" w:themeColor="text1"/>
        </w:rPr>
      </w:pPr>
    </w:p>
    <w:p w14:paraId="0D7EA28E" w14:textId="57A06CD4" w:rsidR="00332D3F" w:rsidRPr="009545B7" w:rsidRDefault="00332D3F" w:rsidP="007F2D8B">
      <w:pPr>
        <w:pStyle w:val="Default"/>
        <w:rPr>
          <w:color w:val="000000" w:themeColor="text1"/>
        </w:rPr>
      </w:pPr>
      <w:r w:rsidRPr="009545B7">
        <w:rPr>
          <w:color w:val="000000" w:themeColor="text1"/>
        </w:rPr>
        <w:t>BRASIL</w:t>
      </w:r>
      <w:r w:rsidRPr="009545B7">
        <w:rPr>
          <w:b/>
          <w:bCs/>
          <w:color w:val="000000" w:themeColor="text1"/>
        </w:rPr>
        <w:t xml:space="preserve">. </w:t>
      </w:r>
      <w:hyperlink r:id="rId18" w:history="1">
        <w:r w:rsidRPr="009545B7">
          <w:rPr>
            <w:b/>
            <w:bCs/>
            <w:color w:val="000000" w:themeColor="text1"/>
          </w:rPr>
          <w:t>Lei Nº 12.527, de 18 de novembro de 2011.</w:t>
        </w:r>
      </w:hyperlink>
      <w:r w:rsidRPr="009545B7">
        <w:rPr>
          <w:color w:val="000000" w:themeColor="text1"/>
        </w:rPr>
        <w:t xml:space="preserve"> Regula o acesso a informações. Brasília, 2011. Disponível em: http://www.planalto.gov.br/ccivil_03/_ato2011-2014/2011/lei/l12527.htm. Acesso em: 14 out. 2022.</w:t>
      </w:r>
    </w:p>
    <w:p w14:paraId="407BF348" w14:textId="77777777" w:rsidR="0043149E" w:rsidRPr="009545B7" w:rsidRDefault="0043149E" w:rsidP="007F2D8B">
      <w:pPr>
        <w:pStyle w:val="Default"/>
        <w:rPr>
          <w:color w:val="000000" w:themeColor="text1"/>
        </w:rPr>
      </w:pPr>
    </w:p>
    <w:p w14:paraId="02FC1BE8" w14:textId="1C716D25" w:rsidR="008D318B" w:rsidRPr="009545B7" w:rsidRDefault="008D318B" w:rsidP="007F2D8B">
      <w:pPr>
        <w:pStyle w:val="NormalWeb"/>
        <w:spacing w:before="0" w:beforeAutospacing="0"/>
        <w:jc w:val="both"/>
        <w:rPr>
          <w:rFonts w:eastAsiaTheme="minorHAnsi"/>
          <w:color w:val="000000" w:themeColor="text1"/>
          <w:lang w:eastAsia="en-US"/>
        </w:rPr>
      </w:pPr>
      <w:r w:rsidRPr="009545B7">
        <w:rPr>
          <w:rFonts w:eastAsiaTheme="minorHAnsi"/>
          <w:color w:val="000000" w:themeColor="text1"/>
          <w:lang w:eastAsia="en-US"/>
        </w:rPr>
        <w:t xml:space="preserve">BRASIL. Ministério da Defesa. </w:t>
      </w:r>
      <w:r w:rsidRPr="009545B7">
        <w:rPr>
          <w:rFonts w:eastAsiaTheme="minorHAnsi"/>
          <w:b/>
          <w:bCs/>
          <w:color w:val="000000" w:themeColor="text1"/>
          <w:lang w:eastAsia="en-US"/>
        </w:rPr>
        <w:t>Plano de Gestão do Ministério da Defesa</w:t>
      </w:r>
      <w:r w:rsidRPr="009545B7">
        <w:rPr>
          <w:rFonts w:eastAsiaTheme="minorHAnsi"/>
          <w:color w:val="000000" w:themeColor="text1"/>
          <w:lang w:eastAsia="en-US"/>
        </w:rPr>
        <w:t>. Brasília, DF, 2021.</w:t>
      </w:r>
      <w:r w:rsidR="003F2E84" w:rsidRPr="009545B7">
        <w:rPr>
          <w:rFonts w:eastAsiaTheme="minorHAnsi"/>
          <w:color w:val="000000" w:themeColor="text1"/>
          <w:lang w:eastAsia="en-US"/>
        </w:rPr>
        <w:t xml:space="preserve"> Disponível em: https://www.gov.br/defesa/pt-br/acesso-a-informacao/transparencia-e-prestacao-de contas/2022/plano_de_gestao_do_ministerio_da_defesa.pdf. Acesso em 16 out. 2022.</w:t>
      </w:r>
    </w:p>
    <w:p w14:paraId="4A17337E" w14:textId="6E30EB11" w:rsidR="00842C1F" w:rsidRPr="009545B7" w:rsidRDefault="00842C1F" w:rsidP="007F2D8B">
      <w:pPr>
        <w:pStyle w:val="Default"/>
        <w:rPr>
          <w:color w:val="000000" w:themeColor="text1"/>
        </w:rPr>
      </w:pPr>
      <w:r w:rsidRPr="009545B7">
        <w:rPr>
          <w:color w:val="000000" w:themeColor="text1"/>
        </w:rPr>
        <w:t>BRASIL</w:t>
      </w:r>
      <w:r w:rsidRPr="009545B7">
        <w:rPr>
          <w:b/>
          <w:bCs/>
          <w:color w:val="000000" w:themeColor="text1"/>
        </w:rPr>
        <w:t xml:space="preserve">. </w:t>
      </w:r>
      <w:hyperlink r:id="rId19" w:history="1">
        <w:r w:rsidRPr="009545B7">
          <w:rPr>
            <w:b/>
            <w:bCs/>
            <w:color w:val="000000" w:themeColor="text1"/>
          </w:rPr>
          <w:t>Lei Nº 1</w:t>
        </w:r>
        <w:r w:rsidR="00332D3F" w:rsidRPr="009545B7">
          <w:rPr>
            <w:b/>
            <w:bCs/>
            <w:color w:val="000000" w:themeColor="text1"/>
          </w:rPr>
          <w:t>3</w:t>
        </w:r>
        <w:r w:rsidRPr="009545B7">
          <w:rPr>
            <w:b/>
            <w:bCs/>
            <w:color w:val="000000" w:themeColor="text1"/>
          </w:rPr>
          <w:t>.</w:t>
        </w:r>
        <w:r w:rsidR="00332D3F" w:rsidRPr="009545B7">
          <w:rPr>
            <w:b/>
            <w:bCs/>
            <w:color w:val="000000" w:themeColor="text1"/>
          </w:rPr>
          <w:t>844</w:t>
        </w:r>
        <w:r w:rsidRPr="009545B7">
          <w:rPr>
            <w:b/>
            <w:bCs/>
            <w:color w:val="000000" w:themeColor="text1"/>
          </w:rPr>
          <w:t xml:space="preserve">, de 18 de </w:t>
        </w:r>
        <w:r w:rsidR="00332D3F" w:rsidRPr="009545B7">
          <w:rPr>
            <w:b/>
            <w:bCs/>
            <w:color w:val="000000" w:themeColor="text1"/>
          </w:rPr>
          <w:t>junho</w:t>
        </w:r>
        <w:r w:rsidRPr="009545B7">
          <w:rPr>
            <w:b/>
            <w:bCs/>
            <w:color w:val="000000" w:themeColor="text1"/>
          </w:rPr>
          <w:t xml:space="preserve"> de 201</w:t>
        </w:r>
        <w:r w:rsidR="00332D3F" w:rsidRPr="009545B7">
          <w:rPr>
            <w:b/>
            <w:bCs/>
            <w:color w:val="000000" w:themeColor="text1"/>
          </w:rPr>
          <w:t>9</w:t>
        </w:r>
        <w:r w:rsidRPr="009545B7">
          <w:rPr>
            <w:b/>
            <w:bCs/>
            <w:color w:val="000000" w:themeColor="text1"/>
          </w:rPr>
          <w:t>.</w:t>
        </w:r>
      </w:hyperlink>
      <w:r w:rsidRPr="009545B7">
        <w:rPr>
          <w:color w:val="000000" w:themeColor="text1"/>
        </w:rPr>
        <w:t xml:space="preserve"> </w:t>
      </w:r>
      <w:r w:rsidR="00332D3F" w:rsidRPr="009545B7">
        <w:rPr>
          <w:color w:val="000000" w:themeColor="text1"/>
        </w:rPr>
        <w:t>Estabelece a organização básica dos órgãos da Presidência da República e dos Ministérios</w:t>
      </w:r>
      <w:r w:rsidRPr="009545B7">
        <w:rPr>
          <w:color w:val="000000" w:themeColor="text1"/>
        </w:rPr>
        <w:t>. Brasília, 201</w:t>
      </w:r>
      <w:r w:rsidR="00332D3F" w:rsidRPr="009545B7">
        <w:rPr>
          <w:color w:val="000000" w:themeColor="text1"/>
        </w:rPr>
        <w:t>9</w:t>
      </w:r>
      <w:r w:rsidRPr="009545B7">
        <w:rPr>
          <w:color w:val="000000" w:themeColor="text1"/>
        </w:rPr>
        <w:t>. Disponível em:</w:t>
      </w:r>
      <w:r w:rsidR="00332D3F" w:rsidRPr="009545B7">
        <w:t xml:space="preserve"> </w:t>
      </w:r>
      <w:r w:rsidR="00332D3F" w:rsidRPr="009545B7">
        <w:rPr>
          <w:color w:val="000000" w:themeColor="text1"/>
        </w:rPr>
        <w:t xml:space="preserve">http://www.planalto.gov.br/ccivil_03/_Ato20192022/2019/Lei/L13844compilado </w:t>
      </w:r>
      <w:proofErr w:type="spellStart"/>
      <w:r w:rsidR="00332D3F" w:rsidRPr="009545B7">
        <w:rPr>
          <w:color w:val="000000" w:themeColor="text1"/>
        </w:rPr>
        <w:t>htm</w:t>
      </w:r>
      <w:proofErr w:type="spellEnd"/>
      <w:r w:rsidRPr="009545B7">
        <w:rPr>
          <w:color w:val="000000" w:themeColor="text1"/>
        </w:rPr>
        <w:t>. Acesso em: 14 out. 2022.</w:t>
      </w:r>
    </w:p>
    <w:p w14:paraId="65B6EA2D" w14:textId="77777777" w:rsidR="0043149E" w:rsidRPr="009545B7" w:rsidRDefault="0043149E" w:rsidP="007F2D8B">
      <w:pPr>
        <w:pStyle w:val="Default"/>
        <w:rPr>
          <w:color w:val="000000" w:themeColor="text1"/>
        </w:rPr>
      </w:pPr>
    </w:p>
    <w:p w14:paraId="771F405D" w14:textId="3542BC0E" w:rsidR="00842C1F" w:rsidRPr="009545B7" w:rsidRDefault="00842C1F" w:rsidP="007F2D8B">
      <w:pPr>
        <w:pStyle w:val="Default"/>
        <w:rPr>
          <w:color w:val="000000" w:themeColor="text1"/>
        </w:rPr>
      </w:pPr>
      <w:r w:rsidRPr="009545B7">
        <w:rPr>
          <w:color w:val="000000" w:themeColor="text1"/>
        </w:rPr>
        <w:t xml:space="preserve">BRASIL. </w:t>
      </w:r>
      <w:r w:rsidRPr="009545B7">
        <w:rPr>
          <w:b/>
          <w:bCs/>
          <w:color w:val="000000" w:themeColor="text1"/>
        </w:rPr>
        <w:t xml:space="preserve">Portaria Interministerial Nº 140, De 16 </w:t>
      </w:r>
      <w:r w:rsidR="005F278B" w:rsidRPr="009545B7">
        <w:rPr>
          <w:b/>
          <w:bCs/>
          <w:color w:val="000000" w:themeColor="text1"/>
        </w:rPr>
        <w:t>d</w:t>
      </w:r>
      <w:r w:rsidRPr="009545B7">
        <w:rPr>
          <w:b/>
          <w:bCs/>
          <w:color w:val="000000" w:themeColor="text1"/>
        </w:rPr>
        <w:t>e março de 2006</w:t>
      </w:r>
      <w:r w:rsidRPr="009545B7">
        <w:rPr>
          <w:color w:val="000000" w:themeColor="text1"/>
        </w:rPr>
        <w:t>. Disciplina a divulgação de dados e informações pelos órgãos e entidades da Administração Pública Federal. Brasília,  2006. Disponível em: http://www.comprasnet.gov.br/legislacao/portarias/p140_06.htm Acesso em: 11 set. 2022.</w:t>
      </w:r>
    </w:p>
    <w:p w14:paraId="5C353AA7" w14:textId="77777777" w:rsidR="0043149E" w:rsidRPr="009545B7" w:rsidRDefault="0043149E" w:rsidP="007F2D8B">
      <w:pPr>
        <w:pStyle w:val="Default"/>
        <w:rPr>
          <w:color w:val="000000" w:themeColor="text1"/>
        </w:rPr>
      </w:pPr>
    </w:p>
    <w:p w14:paraId="04F51697" w14:textId="163E2567" w:rsidR="00842C1F" w:rsidRPr="009545B7" w:rsidRDefault="00842C1F" w:rsidP="007F2D8B">
      <w:pPr>
        <w:pStyle w:val="Default"/>
        <w:rPr>
          <w:color w:val="000000" w:themeColor="text1"/>
        </w:rPr>
      </w:pPr>
      <w:r w:rsidRPr="009545B7">
        <w:rPr>
          <w:color w:val="000000" w:themeColor="text1"/>
        </w:rPr>
        <w:t xml:space="preserve">BRASIL. Tribunal de Contas da União. </w:t>
      </w:r>
      <w:r w:rsidRPr="009545B7">
        <w:rPr>
          <w:b/>
          <w:bCs/>
          <w:color w:val="000000" w:themeColor="text1"/>
        </w:rPr>
        <w:t>Referencial Básico de Governança Organizacional do Tribunal de Contas da União</w:t>
      </w:r>
      <w:r w:rsidRPr="009545B7">
        <w:rPr>
          <w:color w:val="000000" w:themeColor="text1"/>
        </w:rPr>
        <w:t>. Brasília, DF, 2020.</w:t>
      </w:r>
      <w:r w:rsidR="003F2E84" w:rsidRPr="009545B7">
        <w:rPr>
          <w:color w:val="000000" w:themeColor="text1"/>
        </w:rPr>
        <w:t xml:space="preserve"> Disponível em: </w:t>
      </w:r>
      <w:r w:rsidR="003F2E84" w:rsidRPr="009545B7">
        <w:rPr>
          <w:color w:val="000000" w:themeColor="text1"/>
        </w:rPr>
        <w:lastRenderedPageBreak/>
        <w:t>https://portal.tcu.gov.br/imprensa/noticias/tcu-publica-a-3-edicao-do-referencial-basico-de-governanca-organizacional.htm. Acesso em: 15 set. 2022.</w:t>
      </w:r>
    </w:p>
    <w:p w14:paraId="49705A6C" w14:textId="01180325" w:rsidR="00842C1F" w:rsidRPr="002D06AA" w:rsidRDefault="00D64529" w:rsidP="007F2D8B">
      <w:pPr>
        <w:pStyle w:val="Default"/>
        <w:rPr>
          <w:rFonts w:eastAsia="Times New Roman"/>
          <w:color w:val="000000" w:themeColor="text1"/>
        </w:rPr>
      </w:pPr>
      <w:r w:rsidRPr="009545B7">
        <w:rPr>
          <w:rFonts w:eastAsia="Times New Roman"/>
          <w:color w:val="000000" w:themeColor="text1"/>
        </w:rPr>
        <w:t>BLIACHERIENE, A. C.; RIBEIRO, R. J. B.; FUNARI, M. H</w:t>
      </w:r>
      <w:r w:rsidR="00842C1F" w:rsidRPr="009545B7">
        <w:rPr>
          <w:rFonts w:eastAsia="Times New Roman"/>
          <w:color w:val="000000" w:themeColor="text1"/>
        </w:rPr>
        <w:t xml:space="preserve">. Governança pública, eficiência e transparência na administração pública. </w:t>
      </w:r>
      <w:r w:rsidR="00842C1F" w:rsidRPr="002D06AA">
        <w:rPr>
          <w:rFonts w:eastAsia="Times New Roman"/>
          <w:b/>
          <w:bCs/>
          <w:color w:val="000000" w:themeColor="text1"/>
        </w:rPr>
        <w:t xml:space="preserve">Revista </w:t>
      </w:r>
      <w:proofErr w:type="spellStart"/>
      <w:r w:rsidR="00842C1F" w:rsidRPr="002D06AA">
        <w:rPr>
          <w:rFonts w:eastAsia="Times New Roman"/>
          <w:b/>
          <w:bCs/>
          <w:color w:val="000000" w:themeColor="text1"/>
        </w:rPr>
        <w:t>Fórum</w:t>
      </w:r>
      <w:proofErr w:type="spellEnd"/>
      <w:r w:rsidR="00842C1F" w:rsidRPr="002D06AA">
        <w:rPr>
          <w:rFonts w:eastAsia="Times New Roman"/>
          <w:b/>
          <w:bCs/>
          <w:color w:val="000000" w:themeColor="text1"/>
        </w:rPr>
        <w:t xml:space="preserve"> de </w:t>
      </w:r>
      <w:proofErr w:type="spellStart"/>
      <w:r w:rsidR="00842C1F" w:rsidRPr="002D06AA">
        <w:rPr>
          <w:rFonts w:eastAsia="Times New Roman"/>
          <w:b/>
          <w:bCs/>
          <w:color w:val="000000" w:themeColor="text1"/>
        </w:rPr>
        <w:t>Contratação</w:t>
      </w:r>
      <w:proofErr w:type="spellEnd"/>
      <w:r w:rsidR="00842C1F" w:rsidRPr="002D06AA">
        <w:rPr>
          <w:rFonts w:eastAsia="Times New Roman"/>
          <w:b/>
          <w:bCs/>
          <w:color w:val="000000" w:themeColor="text1"/>
        </w:rPr>
        <w:t xml:space="preserve"> e </w:t>
      </w:r>
      <w:proofErr w:type="spellStart"/>
      <w:r w:rsidR="00842C1F" w:rsidRPr="002D06AA">
        <w:rPr>
          <w:rFonts w:eastAsia="Times New Roman"/>
          <w:b/>
          <w:bCs/>
          <w:color w:val="000000" w:themeColor="text1"/>
        </w:rPr>
        <w:t>Gestão</w:t>
      </w:r>
      <w:proofErr w:type="spellEnd"/>
      <w:r w:rsidR="00842C1F" w:rsidRPr="002D06AA">
        <w:rPr>
          <w:rFonts w:eastAsia="Times New Roman"/>
          <w:b/>
          <w:bCs/>
          <w:color w:val="000000" w:themeColor="text1"/>
        </w:rPr>
        <w:t xml:space="preserve"> </w:t>
      </w:r>
      <w:proofErr w:type="spellStart"/>
      <w:r w:rsidR="00842C1F" w:rsidRPr="002D06AA">
        <w:rPr>
          <w:rFonts w:eastAsia="Times New Roman"/>
          <w:b/>
          <w:bCs/>
          <w:color w:val="000000" w:themeColor="text1"/>
        </w:rPr>
        <w:t>Pública</w:t>
      </w:r>
      <w:proofErr w:type="spellEnd"/>
      <w:r w:rsidR="00842C1F" w:rsidRPr="002D06AA">
        <w:rPr>
          <w:rFonts w:eastAsia="Times New Roman"/>
          <w:color w:val="000000" w:themeColor="text1"/>
        </w:rPr>
        <w:t>. Belo Horizonte, v.12, n.133, [</w:t>
      </w:r>
      <w:proofErr w:type="spellStart"/>
      <w:r w:rsidR="00842C1F" w:rsidRPr="002D06AA">
        <w:rPr>
          <w:rFonts w:eastAsia="Times New Roman"/>
          <w:color w:val="000000" w:themeColor="text1"/>
        </w:rPr>
        <w:t>s.p.</w:t>
      </w:r>
      <w:proofErr w:type="spellEnd"/>
      <w:r w:rsidR="00842C1F" w:rsidRPr="002D06AA">
        <w:rPr>
          <w:rFonts w:eastAsia="Times New Roman"/>
          <w:color w:val="000000" w:themeColor="text1"/>
        </w:rPr>
        <w:t xml:space="preserve">], 24 jan. 2013. </w:t>
      </w:r>
    </w:p>
    <w:p w14:paraId="113D5A31" w14:textId="77777777" w:rsidR="0043149E" w:rsidRPr="002D06AA" w:rsidRDefault="0043149E" w:rsidP="007F2D8B">
      <w:pPr>
        <w:pStyle w:val="Default"/>
        <w:rPr>
          <w:rFonts w:eastAsia="Times New Roman"/>
          <w:color w:val="000000" w:themeColor="text1"/>
        </w:rPr>
      </w:pPr>
    </w:p>
    <w:p w14:paraId="7649CA95" w14:textId="29E798EF"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lang w:val="en-US"/>
        </w:rPr>
        <w:t xml:space="preserve">CHEUNG, T. M.; WILSON, J. 2014. IGCC White Paper on Defense Transparency in Northeast Asia. </w:t>
      </w:r>
      <w:r w:rsidRPr="009545B7">
        <w:rPr>
          <w:rFonts w:eastAsia="Times New Roman"/>
          <w:b/>
          <w:bCs/>
          <w:color w:val="000000" w:themeColor="text1"/>
          <w:lang w:val="en-US"/>
        </w:rPr>
        <w:t>DTI White</w:t>
      </w:r>
      <w:r w:rsidRPr="009545B7">
        <w:rPr>
          <w:rFonts w:eastAsia="Times New Roman"/>
          <w:color w:val="000000" w:themeColor="text1"/>
          <w:lang w:val="en-US"/>
        </w:rPr>
        <w:t xml:space="preserve"> </w:t>
      </w:r>
      <w:r w:rsidRPr="009545B7">
        <w:rPr>
          <w:rFonts w:eastAsia="Times New Roman"/>
          <w:b/>
          <w:bCs/>
          <w:color w:val="000000" w:themeColor="text1"/>
          <w:lang w:val="en-US"/>
        </w:rPr>
        <w:t>Papers</w:t>
      </w:r>
      <w:r w:rsidRPr="009545B7">
        <w:rPr>
          <w:rFonts w:eastAsia="Times New Roman"/>
          <w:color w:val="000000" w:themeColor="text1"/>
          <w:lang w:val="en-US"/>
        </w:rPr>
        <w:t>. [</w:t>
      </w:r>
      <w:proofErr w:type="spellStart"/>
      <w:r w:rsidRPr="009545B7">
        <w:rPr>
          <w:rFonts w:eastAsia="Times New Roman"/>
          <w:color w:val="000000" w:themeColor="text1"/>
          <w:lang w:val="en-US"/>
        </w:rPr>
        <w:t>s.l</w:t>
      </w:r>
      <w:proofErr w:type="spellEnd"/>
      <w:r w:rsidRPr="009545B7">
        <w:rPr>
          <w:rFonts w:eastAsia="Times New Roman"/>
          <w:color w:val="000000" w:themeColor="text1"/>
          <w:lang w:val="en-US"/>
        </w:rPr>
        <w:t xml:space="preserve">], 01 </w:t>
      </w:r>
      <w:proofErr w:type="spellStart"/>
      <w:r w:rsidRPr="009545B7">
        <w:rPr>
          <w:rFonts w:eastAsia="Times New Roman"/>
          <w:color w:val="000000" w:themeColor="text1"/>
          <w:lang w:val="en-US"/>
        </w:rPr>
        <w:t>nov.</w:t>
      </w:r>
      <w:proofErr w:type="spellEnd"/>
      <w:r w:rsidRPr="009545B7">
        <w:rPr>
          <w:rFonts w:eastAsia="Times New Roman"/>
          <w:color w:val="000000" w:themeColor="text1"/>
          <w:lang w:val="en-US"/>
        </w:rPr>
        <w:t xml:space="preserve"> 2014</w:t>
      </w:r>
      <w:r w:rsidR="0066429A" w:rsidRPr="009545B7">
        <w:rPr>
          <w:rFonts w:eastAsia="Times New Roman"/>
          <w:color w:val="000000" w:themeColor="text1"/>
          <w:lang w:val="en-US"/>
        </w:rPr>
        <w:t>.</w:t>
      </w:r>
    </w:p>
    <w:p w14:paraId="34E2E2BD" w14:textId="77777777" w:rsidR="0043149E" w:rsidRPr="009545B7" w:rsidRDefault="0043149E" w:rsidP="007F2D8B">
      <w:pPr>
        <w:pStyle w:val="Default"/>
        <w:rPr>
          <w:color w:val="000000" w:themeColor="text1"/>
          <w:lang w:val="en-US"/>
        </w:rPr>
      </w:pPr>
    </w:p>
    <w:p w14:paraId="07ED9ECF" w14:textId="6D1AC945" w:rsidR="00842C1F" w:rsidRPr="009545B7" w:rsidRDefault="00842C1F" w:rsidP="007F2D8B">
      <w:pPr>
        <w:pStyle w:val="Default"/>
        <w:rPr>
          <w:rFonts w:eastAsia="Times New Roman"/>
          <w:color w:val="000000" w:themeColor="text1"/>
          <w:lang w:eastAsia="pt-BR"/>
        </w:rPr>
      </w:pPr>
      <w:r w:rsidRPr="009545B7">
        <w:rPr>
          <w:rFonts w:eastAsia="Times New Roman"/>
          <w:color w:val="000000" w:themeColor="text1"/>
          <w:lang w:val="en-US"/>
        </w:rPr>
        <w:t>C</w:t>
      </w:r>
      <w:r w:rsidRPr="009545B7">
        <w:rPr>
          <w:rFonts w:eastAsia="Times New Roman"/>
          <w:color w:val="000000" w:themeColor="text1"/>
          <w:lang w:val="en-US" w:eastAsia="pt-BR"/>
        </w:rPr>
        <w:t xml:space="preserve">OSTAS, J.; GREY, C. Bringing Secrecy into the Open: Towards a Theorization of the Social Processes of Organizational Secrecy. </w:t>
      </w:r>
      <w:proofErr w:type="spellStart"/>
      <w:r w:rsidRPr="009545B7">
        <w:rPr>
          <w:rFonts w:eastAsia="Times New Roman"/>
          <w:b/>
          <w:bCs/>
          <w:color w:val="000000" w:themeColor="text1"/>
          <w:lang w:eastAsia="pt-BR"/>
        </w:rPr>
        <w:t>Organization</w:t>
      </w:r>
      <w:proofErr w:type="spellEnd"/>
      <w:r w:rsidRPr="009545B7">
        <w:rPr>
          <w:rFonts w:eastAsia="Times New Roman"/>
          <w:b/>
          <w:bCs/>
          <w:color w:val="000000" w:themeColor="text1"/>
          <w:lang w:eastAsia="pt-BR"/>
        </w:rPr>
        <w:t xml:space="preserve"> </w:t>
      </w:r>
      <w:proofErr w:type="spellStart"/>
      <w:r w:rsidRPr="009545B7">
        <w:rPr>
          <w:rFonts w:eastAsia="Times New Roman"/>
          <w:b/>
          <w:bCs/>
          <w:color w:val="000000" w:themeColor="text1"/>
          <w:lang w:eastAsia="pt-BR"/>
        </w:rPr>
        <w:t>Studies</w:t>
      </w:r>
      <w:proofErr w:type="spellEnd"/>
      <w:r w:rsidRPr="009545B7">
        <w:rPr>
          <w:rFonts w:eastAsia="Times New Roman"/>
          <w:color w:val="000000" w:themeColor="text1"/>
          <w:lang w:eastAsia="pt-BR"/>
        </w:rPr>
        <w:t>, [</w:t>
      </w:r>
      <w:proofErr w:type="spellStart"/>
      <w:r w:rsidRPr="009545B7">
        <w:rPr>
          <w:rFonts w:eastAsia="Times New Roman"/>
          <w:color w:val="000000" w:themeColor="text1"/>
          <w:lang w:eastAsia="pt-BR"/>
        </w:rPr>
        <w:t>s.l</w:t>
      </w:r>
      <w:proofErr w:type="spellEnd"/>
      <w:r w:rsidRPr="009545B7">
        <w:rPr>
          <w:rFonts w:eastAsia="Times New Roman"/>
          <w:color w:val="000000" w:themeColor="text1"/>
          <w:lang w:eastAsia="pt-BR"/>
        </w:rPr>
        <w:t xml:space="preserve">.], v.35, n.10, p. 1423-1447. 24 mar. 2014. </w:t>
      </w:r>
    </w:p>
    <w:p w14:paraId="37A85899" w14:textId="77777777" w:rsidR="0043149E" w:rsidRPr="009545B7" w:rsidRDefault="0043149E" w:rsidP="007F2D8B">
      <w:pPr>
        <w:pStyle w:val="Default"/>
        <w:rPr>
          <w:color w:val="000000" w:themeColor="text1"/>
        </w:rPr>
      </w:pPr>
    </w:p>
    <w:p w14:paraId="41F2153C" w14:textId="785D6ACA"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CRESWELL, J. W. </w:t>
      </w:r>
      <w:r w:rsidRPr="009545B7">
        <w:rPr>
          <w:rFonts w:eastAsia="Times New Roman"/>
          <w:b/>
          <w:bCs/>
          <w:color w:val="000000" w:themeColor="text1"/>
        </w:rPr>
        <w:t xml:space="preserve">Projeto de Pesquisa </w:t>
      </w:r>
      <w:proofErr w:type="spellStart"/>
      <w:r w:rsidRPr="009545B7">
        <w:rPr>
          <w:rFonts w:eastAsia="Times New Roman"/>
          <w:b/>
          <w:bCs/>
          <w:color w:val="000000" w:themeColor="text1"/>
        </w:rPr>
        <w:t>métodos</w:t>
      </w:r>
      <w:proofErr w:type="spellEnd"/>
      <w:r w:rsidRPr="009545B7">
        <w:rPr>
          <w:rFonts w:eastAsia="Times New Roman"/>
          <w:b/>
          <w:bCs/>
          <w:color w:val="000000" w:themeColor="text1"/>
        </w:rPr>
        <w:t xml:space="preserve"> qualitativo, quantitativo e misto</w:t>
      </w:r>
      <w:r w:rsidRPr="009545B7">
        <w:rPr>
          <w:rFonts w:eastAsia="Times New Roman"/>
          <w:color w:val="000000" w:themeColor="text1"/>
        </w:rPr>
        <w:t>. Tradução de Luciana de Oliveira da Rocha. Porto Alegre: 2 Edição, Artmed, 2007</w:t>
      </w:r>
    </w:p>
    <w:p w14:paraId="32D6CD5B" w14:textId="77777777" w:rsidR="0043149E" w:rsidRPr="009545B7" w:rsidRDefault="0043149E" w:rsidP="007F2D8B">
      <w:pPr>
        <w:pStyle w:val="Default"/>
        <w:rPr>
          <w:rFonts w:eastAsia="Times New Roman"/>
          <w:color w:val="000000" w:themeColor="text1"/>
        </w:rPr>
      </w:pPr>
    </w:p>
    <w:p w14:paraId="7F2574D0" w14:textId="7397DB24"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lang w:val="en-US"/>
        </w:rPr>
        <w:t xml:space="preserve">DE GRAAF, G.; PAANAKKER, H. Good Governance: Performance Values and Procedural Values in Conflict. </w:t>
      </w:r>
      <w:r w:rsidRPr="009545B7">
        <w:rPr>
          <w:rFonts w:eastAsia="Times New Roman"/>
          <w:b/>
          <w:bCs/>
          <w:color w:val="000000" w:themeColor="text1"/>
          <w:lang w:val="en-US"/>
        </w:rPr>
        <w:t>American Review of Public Administration</w:t>
      </w:r>
      <w:r w:rsidRPr="009545B7">
        <w:rPr>
          <w:rFonts w:eastAsia="Times New Roman"/>
          <w:color w:val="000000" w:themeColor="text1"/>
          <w:lang w:val="en-US"/>
        </w:rPr>
        <w:t>.</w:t>
      </w:r>
      <w:r w:rsidRPr="009545B7">
        <w:rPr>
          <w:color w:val="000000" w:themeColor="text1"/>
          <w:lang w:val="en-US"/>
        </w:rPr>
        <w:t xml:space="preserve"> [</w:t>
      </w:r>
      <w:proofErr w:type="spellStart"/>
      <w:r w:rsidRPr="009545B7">
        <w:rPr>
          <w:color w:val="000000" w:themeColor="text1"/>
          <w:lang w:val="en-US"/>
        </w:rPr>
        <w:t>s.l</w:t>
      </w:r>
      <w:proofErr w:type="spellEnd"/>
      <w:r w:rsidRPr="009545B7">
        <w:rPr>
          <w:color w:val="000000" w:themeColor="text1"/>
          <w:lang w:val="en-US"/>
        </w:rPr>
        <w:t>]. v</w:t>
      </w:r>
      <w:r w:rsidR="009545B7">
        <w:rPr>
          <w:color w:val="000000" w:themeColor="text1"/>
          <w:lang w:val="en-US"/>
        </w:rPr>
        <w:t>.</w:t>
      </w:r>
      <w:r w:rsidRPr="009545B7">
        <w:rPr>
          <w:color w:val="000000" w:themeColor="text1"/>
          <w:lang w:val="en-US"/>
        </w:rPr>
        <w:t xml:space="preserve"> 45, n</w:t>
      </w:r>
      <w:r w:rsidR="009545B7">
        <w:rPr>
          <w:color w:val="000000" w:themeColor="text1"/>
          <w:lang w:val="en-US"/>
        </w:rPr>
        <w:t>.</w:t>
      </w:r>
      <w:r w:rsidRPr="009545B7">
        <w:rPr>
          <w:color w:val="000000" w:themeColor="text1"/>
          <w:lang w:val="en-US"/>
        </w:rPr>
        <w:t xml:space="preserve"> 6, p</w:t>
      </w:r>
      <w:r w:rsidR="009545B7">
        <w:rPr>
          <w:color w:val="000000" w:themeColor="text1"/>
          <w:lang w:val="en-US"/>
        </w:rPr>
        <w:t>.</w:t>
      </w:r>
      <w:r w:rsidRPr="009545B7">
        <w:rPr>
          <w:color w:val="000000" w:themeColor="text1"/>
          <w:lang w:val="en-US"/>
        </w:rPr>
        <w:t xml:space="preserve"> 635-652. 16 abr. 2014</w:t>
      </w:r>
      <w:r w:rsidRPr="009545B7">
        <w:rPr>
          <w:rFonts w:eastAsia="Times New Roman"/>
          <w:color w:val="000000" w:themeColor="text1"/>
          <w:lang w:val="en-US"/>
        </w:rPr>
        <w:t xml:space="preserve">. </w:t>
      </w:r>
    </w:p>
    <w:p w14:paraId="0686EF0F" w14:textId="77777777" w:rsidR="0043149E" w:rsidRPr="009545B7" w:rsidRDefault="0043149E" w:rsidP="007F2D8B">
      <w:pPr>
        <w:pStyle w:val="Default"/>
        <w:rPr>
          <w:color w:val="000000" w:themeColor="text1"/>
          <w:lang w:val="en-US"/>
        </w:rPr>
      </w:pPr>
    </w:p>
    <w:p w14:paraId="5AFF3D7B" w14:textId="11F4B386" w:rsidR="00842C1F" w:rsidRPr="009545B7" w:rsidRDefault="00842C1F" w:rsidP="007F2D8B">
      <w:pPr>
        <w:pStyle w:val="Default"/>
        <w:rPr>
          <w:color w:val="000000" w:themeColor="text1"/>
          <w:lang w:val="en-US"/>
        </w:rPr>
      </w:pPr>
      <w:r w:rsidRPr="009545B7">
        <w:rPr>
          <w:rFonts w:eastAsia="Times New Roman"/>
          <w:color w:val="000000" w:themeColor="text1"/>
          <w:lang w:val="en-US"/>
        </w:rPr>
        <w:t xml:space="preserve">DOBSON, M. J. The last forum of accountability? State secrecy, intelligence and freedom of information in the United Kingdom. </w:t>
      </w:r>
      <w:r w:rsidRPr="009545B7">
        <w:rPr>
          <w:rFonts w:eastAsia="Times New Roman"/>
          <w:b/>
          <w:bCs/>
          <w:color w:val="000000" w:themeColor="text1"/>
          <w:lang w:val="en-US"/>
        </w:rPr>
        <w:t>The British Journal of Politics and International Relations</w:t>
      </w:r>
      <w:r w:rsidRPr="009545B7">
        <w:rPr>
          <w:rFonts w:eastAsia="Times New Roman"/>
          <w:i/>
          <w:iCs/>
          <w:color w:val="000000" w:themeColor="text1"/>
          <w:lang w:val="en-US"/>
        </w:rPr>
        <w:t xml:space="preserve">. </w:t>
      </w:r>
      <w:r w:rsidRPr="009545B7">
        <w:rPr>
          <w:color w:val="000000" w:themeColor="text1"/>
          <w:lang w:val="en-US"/>
        </w:rPr>
        <w:t>[</w:t>
      </w:r>
      <w:proofErr w:type="spellStart"/>
      <w:r w:rsidRPr="009545B7">
        <w:rPr>
          <w:color w:val="000000" w:themeColor="text1"/>
          <w:lang w:val="en-US"/>
        </w:rPr>
        <w:t>s.l</w:t>
      </w:r>
      <w:proofErr w:type="spellEnd"/>
      <w:r w:rsidRPr="009545B7">
        <w:rPr>
          <w:color w:val="000000" w:themeColor="text1"/>
          <w:lang w:val="en-US"/>
        </w:rPr>
        <w:t>]. v</w:t>
      </w:r>
      <w:r w:rsidR="009545B7">
        <w:rPr>
          <w:color w:val="000000" w:themeColor="text1"/>
          <w:lang w:val="en-US"/>
        </w:rPr>
        <w:t>.</w:t>
      </w:r>
      <w:r w:rsidRPr="009545B7">
        <w:rPr>
          <w:color w:val="000000" w:themeColor="text1"/>
          <w:lang w:val="en-US"/>
        </w:rPr>
        <w:t xml:space="preserve"> 21, n</w:t>
      </w:r>
      <w:r w:rsidR="009545B7">
        <w:rPr>
          <w:color w:val="000000" w:themeColor="text1"/>
          <w:lang w:val="en-US"/>
        </w:rPr>
        <w:t>.</w:t>
      </w:r>
      <w:r w:rsidRPr="009545B7">
        <w:rPr>
          <w:color w:val="000000" w:themeColor="text1"/>
          <w:lang w:val="en-US"/>
        </w:rPr>
        <w:t xml:space="preserve"> 2, p</w:t>
      </w:r>
      <w:r w:rsidR="009545B7">
        <w:rPr>
          <w:color w:val="000000" w:themeColor="text1"/>
          <w:lang w:val="en-US"/>
        </w:rPr>
        <w:t>.</w:t>
      </w:r>
      <w:r w:rsidRPr="009545B7">
        <w:rPr>
          <w:color w:val="000000" w:themeColor="text1"/>
          <w:lang w:val="en-US"/>
        </w:rPr>
        <w:t xml:space="preserve"> 01-18. 19 </w:t>
      </w:r>
      <w:proofErr w:type="spellStart"/>
      <w:r w:rsidRPr="009545B7">
        <w:rPr>
          <w:color w:val="000000" w:themeColor="text1"/>
          <w:lang w:val="en-US"/>
        </w:rPr>
        <w:t>fev</w:t>
      </w:r>
      <w:proofErr w:type="spellEnd"/>
      <w:r w:rsidRPr="009545B7">
        <w:rPr>
          <w:color w:val="000000" w:themeColor="text1"/>
          <w:lang w:val="en-US"/>
        </w:rPr>
        <w:t>. 2019</w:t>
      </w:r>
      <w:r w:rsidR="00F86F5C" w:rsidRPr="009545B7">
        <w:rPr>
          <w:color w:val="000000" w:themeColor="text1"/>
          <w:lang w:val="en-US"/>
        </w:rPr>
        <w:t>.</w:t>
      </w:r>
    </w:p>
    <w:p w14:paraId="1375C36F" w14:textId="77777777" w:rsidR="0043149E" w:rsidRPr="009545B7" w:rsidRDefault="0043149E" w:rsidP="007F2D8B">
      <w:pPr>
        <w:pStyle w:val="Default"/>
        <w:rPr>
          <w:color w:val="000000" w:themeColor="text1"/>
          <w:lang w:val="en-US"/>
        </w:rPr>
      </w:pPr>
    </w:p>
    <w:p w14:paraId="0CE68382" w14:textId="4640CAAD" w:rsidR="00842C1F" w:rsidRPr="002D06AA" w:rsidRDefault="00842C1F" w:rsidP="007F2D8B">
      <w:pPr>
        <w:pStyle w:val="Default"/>
        <w:rPr>
          <w:rFonts w:eastAsia="Times New Roman"/>
          <w:color w:val="000000" w:themeColor="text1"/>
        </w:rPr>
      </w:pPr>
      <w:r w:rsidRPr="009545B7">
        <w:rPr>
          <w:rFonts w:eastAsia="Times New Roman"/>
          <w:color w:val="000000" w:themeColor="text1"/>
          <w:lang w:val="en-US"/>
        </w:rPr>
        <w:t xml:space="preserve">FUNG, A. Infotopia: Unleashing the democratic power of transparency. </w:t>
      </w:r>
      <w:proofErr w:type="spellStart"/>
      <w:r w:rsidRPr="002D06AA">
        <w:rPr>
          <w:rFonts w:eastAsia="Times New Roman"/>
          <w:b/>
          <w:bCs/>
          <w:color w:val="000000" w:themeColor="text1"/>
        </w:rPr>
        <w:t>Politics</w:t>
      </w:r>
      <w:proofErr w:type="spellEnd"/>
      <w:r w:rsidRPr="002D06AA">
        <w:rPr>
          <w:rFonts w:eastAsia="Times New Roman"/>
          <w:b/>
          <w:bCs/>
          <w:color w:val="000000" w:themeColor="text1"/>
        </w:rPr>
        <w:t xml:space="preserve"> </w:t>
      </w:r>
      <w:proofErr w:type="spellStart"/>
      <w:r w:rsidRPr="002D06AA">
        <w:rPr>
          <w:rFonts w:eastAsia="Times New Roman"/>
          <w:b/>
          <w:bCs/>
          <w:color w:val="000000" w:themeColor="text1"/>
        </w:rPr>
        <w:t>and</w:t>
      </w:r>
      <w:proofErr w:type="spellEnd"/>
      <w:r w:rsidRPr="002D06AA">
        <w:rPr>
          <w:rFonts w:eastAsia="Times New Roman"/>
          <w:b/>
          <w:bCs/>
          <w:color w:val="000000" w:themeColor="text1"/>
        </w:rPr>
        <w:t xml:space="preserve"> Society</w:t>
      </w:r>
      <w:r w:rsidRPr="002D06AA">
        <w:rPr>
          <w:rFonts w:eastAsia="Times New Roman"/>
          <w:color w:val="000000" w:themeColor="text1"/>
        </w:rPr>
        <w:t>.</w:t>
      </w:r>
      <w:r w:rsidRPr="002D06AA">
        <w:rPr>
          <w:rFonts w:eastAsia="Times New Roman"/>
          <w:i/>
          <w:iCs/>
          <w:color w:val="000000" w:themeColor="text1"/>
        </w:rPr>
        <w:t xml:space="preserve"> </w:t>
      </w:r>
      <w:r w:rsidRPr="002D06AA">
        <w:rPr>
          <w:color w:val="000000" w:themeColor="text1"/>
        </w:rPr>
        <w:t>[</w:t>
      </w:r>
      <w:proofErr w:type="spellStart"/>
      <w:r w:rsidRPr="002D06AA">
        <w:rPr>
          <w:color w:val="000000" w:themeColor="text1"/>
        </w:rPr>
        <w:t>s.l</w:t>
      </w:r>
      <w:proofErr w:type="spellEnd"/>
      <w:r w:rsidRPr="002D06AA">
        <w:rPr>
          <w:color w:val="000000" w:themeColor="text1"/>
        </w:rPr>
        <w:t>]</w:t>
      </w:r>
      <w:r w:rsidRPr="002D06AA">
        <w:rPr>
          <w:rFonts w:eastAsia="Times New Roman"/>
          <w:color w:val="000000" w:themeColor="text1"/>
        </w:rPr>
        <w:t xml:space="preserve"> v. 41 n. 2, p. 183–212. 06 mai. 2013. </w:t>
      </w:r>
    </w:p>
    <w:p w14:paraId="3EAC2B4F" w14:textId="77777777" w:rsidR="0043149E" w:rsidRPr="002D06AA" w:rsidRDefault="0043149E" w:rsidP="007F2D8B">
      <w:pPr>
        <w:pStyle w:val="Default"/>
        <w:rPr>
          <w:rFonts w:eastAsia="Times New Roman"/>
          <w:color w:val="000000" w:themeColor="text1"/>
        </w:rPr>
      </w:pPr>
    </w:p>
    <w:p w14:paraId="61746D34" w14:textId="0E3A05AC" w:rsidR="00412132" w:rsidRPr="009545B7" w:rsidRDefault="00412132" w:rsidP="007F2D8B">
      <w:pPr>
        <w:pStyle w:val="Default"/>
        <w:rPr>
          <w:rFonts w:eastAsia="Times New Roman"/>
          <w:color w:val="000000" w:themeColor="text1"/>
        </w:rPr>
      </w:pPr>
      <w:r w:rsidRPr="009545B7">
        <w:rPr>
          <w:rFonts w:eastAsia="Times New Roman"/>
          <w:color w:val="000000" w:themeColor="text1"/>
        </w:rPr>
        <w:t xml:space="preserve">FURTADO, K. Desvelando o conceito de transparência: seus limites, suas variedades e a criação de uma tipologia. </w:t>
      </w:r>
      <w:r w:rsidRPr="009545B7">
        <w:rPr>
          <w:rFonts w:eastAsia="Times New Roman"/>
          <w:b/>
          <w:bCs/>
          <w:color w:val="000000" w:themeColor="text1"/>
        </w:rPr>
        <w:t>Cadernos EBAPE.BR</w:t>
      </w:r>
      <w:r w:rsidRPr="009545B7">
        <w:rPr>
          <w:rFonts w:eastAsia="Times New Roman"/>
          <w:color w:val="000000" w:themeColor="text1"/>
        </w:rPr>
        <w:t xml:space="preserve">, v.18 n. 2, p. 237–253, 01 jun. 2020. </w:t>
      </w:r>
    </w:p>
    <w:p w14:paraId="62F846D6" w14:textId="77777777" w:rsidR="0043149E" w:rsidRPr="009545B7" w:rsidRDefault="0043149E" w:rsidP="007F2D8B">
      <w:pPr>
        <w:pStyle w:val="Default"/>
        <w:rPr>
          <w:rFonts w:eastAsia="Times New Roman"/>
          <w:color w:val="000000" w:themeColor="text1"/>
        </w:rPr>
      </w:pPr>
    </w:p>
    <w:p w14:paraId="653DC84C" w14:textId="5FAB6790" w:rsidR="0043149E" w:rsidRPr="009545B7" w:rsidRDefault="00412132" w:rsidP="007F2D8B">
      <w:pPr>
        <w:pStyle w:val="Default"/>
        <w:rPr>
          <w:rFonts w:eastAsia="Times New Roman"/>
          <w:color w:val="000000" w:themeColor="text1"/>
        </w:rPr>
      </w:pPr>
      <w:r w:rsidRPr="009545B7">
        <w:rPr>
          <w:rFonts w:eastAsia="Times New Roman"/>
          <w:color w:val="000000" w:themeColor="text1"/>
        </w:rPr>
        <w:t>FURTADO,</w:t>
      </w:r>
      <w:r w:rsidR="009545B7">
        <w:rPr>
          <w:rFonts w:eastAsia="Times New Roman"/>
          <w:color w:val="000000" w:themeColor="text1"/>
        </w:rPr>
        <w:t xml:space="preserve"> </w:t>
      </w:r>
      <w:r w:rsidRPr="009545B7">
        <w:rPr>
          <w:rFonts w:eastAsia="Times New Roman"/>
          <w:color w:val="000000" w:themeColor="text1"/>
        </w:rPr>
        <w:t xml:space="preserve">K. Relações civis-militares e as leis de acesso a informação na América </w:t>
      </w:r>
    </w:p>
    <w:p w14:paraId="12A51071" w14:textId="69C27826" w:rsidR="00412132" w:rsidRPr="009545B7" w:rsidRDefault="00412132" w:rsidP="007F2D8B">
      <w:pPr>
        <w:pStyle w:val="Default"/>
        <w:rPr>
          <w:rFonts w:eastAsia="Times New Roman"/>
          <w:color w:val="000000" w:themeColor="text1"/>
        </w:rPr>
      </w:pPr>
      <w:r w:rsidRPr="009545B7">
        <w:rPr>
          <w:rFonts w:eastAsia="Times New Roman"/>
          <w:color w:val="000000" w:themeColor="text1"/>
        </w:rPr>
        <w:t xml:space="preserve">Latina e no Brasil. </w:t>
      </w:r>
      <w:r w:rsidRPr="009545B7">
        <w:rPr>
          <w:rFonts w:eastAsia="Times New Roman"/>
          <w:b/>
          <w:bCs/>
          <w:color w:val="000000" w:themeColor="text1"/>
        </w:rPr>
        <w:t>Escola Brasileira de Administração Pública e de Empresas</w:t>
      </w:r>
      <w:r w:rsidRPr="009545B7">
        <w:rPr>
          <w:rFonts w:eastAsia="Times New Roman"/>
          <w:color w:val="000000" w:themeColor="text1"/>
        </w:rPr>
        <w:t>, v. 18 n. 2, p. 237–253, 01 jun. 2013.</w:t>
      </w:r>
    </w:p>
    <w:p w14:paraId="64884609" w14:textId="77777777" w:rsidR="0043149E" w:rsidRPr="009545B7" w:rsidRDefault="0043149E" w:rsidP="007F2D8B">
      <w:pPr>
        <w:pStyle w:val="Default"/>
        <w:rPr>
          <w:rFonts w:eastAsia="Times New Roman"/>
          <w:color w:val="000000" w:themeColor="text1"/>
        </w:rPr>
      </w:pPr>
    </w:p>
    <w:p w14:paraId="024FD451" w14:textId="5AF3A740"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lang w:val="en-US"/>
        </w:rPr>
        <w:t xml:space="preserve">HEIDE, M. From Threat to Risk: Changing Rationales and Practices of Secrecy. </w:t>
      </w:r>
      <w:r w:rsidRPr="009545B7">
        <w:rPr>
          <w:rFonts w:eastAsia="Times New Roman"/>
          <w:b/>
          <w:bCs/>
          <w:color w:val="000000" w:themeColor="text1"/>
          <w:lang w:val="en-US"/>
        </w:rPr>
        <w:t>Public Integrity</w:t>
      </w:r>
      <w:r w:rsidRPr="009545B7">
        <w:rPr>
          <w:rFonts w:eastAsia="Times New Roman"/>
          <w:i/>
          <w:iCs/>
          <w:color w:val="000000" w:themeColor="text1"/>
          <w:lang w:val="en-US"/>
        </w:rPr>
        <w:t xml:space="preserve">. </w:t>
      </w:r>
      <w:r w:rsidRPr="009545B7">
        <w:rPr>
          <w:color w:val="000000" w:themeColor="text1"/>
          <w:lang w:val="en-US"/>
        </w:rPr>
        <w:t>[</w:t>
      </w:r>
      <w:proofErr w:type="spellStart"/>
      <w:r w:rsidRPr="009545B7">
        <w:rPr>
          <w:color w:val="000000" w:themeColor="text1"/>
          <w:lang w:val="en-US"/>
        </w:rPr>
        <w:t>s.l</w:t>
      </w:r>
      <w:proofErr w:type="spellEnd"/>
      <w:r w:rsidRPr="009545B7">
        <w:rPr>
          <w:color w:val="000000" w:themeColor="text1"/>
          <w:lang w:val="en-US"/>
        </w:rPr>
        <w:t>]</w:t>
      </w:r>
      <w:r w:rsidRPr="009545B7">
        <w:rPr>
          <w:rFonts w:eastAsia="Times New Roman"/>
          <w:color w:val="000000" w:themeColor="text1"/>
          <w:lang w:val="en-US"/>
        </w:rPr>
        <w:t xml:space="preserve">  v. 24 n.3, p. 254–266. 07 </w:t>
      </w:r>
      <w:proofErr w:type="spellStart"/>
      <w:r w:rsidRPr="009545B7">
        <w:rPr>
          <w:rFonts w:eastAsia="Times New Roman"/>
          <w:color w:val="000000" w:themeColor="text1"/>
          <w:lang w:val="en-US"/>
        </w:rPr>
        <w:t>jul.</w:t>
      </w:r>
      <w:proofErr w:type="spellEnd"/>
      <w:r w:rsidRPr="009545B7">
        <w:rPr>
          <w:rFonts w:eastAsia="Times New Roman"/>
          <w:color w:val="000000" w:themeColor="text1"/>
          <w:lang w:val="en-US"/>
        </w:rPr>
        <w:t xml:space="preserve"> 2022. </w:t>
      </w:r>
    </w:p>
    <w:p w14:paraId="5064363D" w14:textId="77777777" w:rsidR="0043149E" w:rsidRPr="009545B7" w:rsidRDefault="0043149E" w:rsidP="007F2D8B">
      <w:pPr>
        <w:pStyle w:val="Default"/>
        <w:rPr>
          <w:color w:val="000000" w:themeColor="text1"/>
          <w:lang w:val="en-US"/>
        </w:rPr>
      </w:pPr>
    </w:p>
    <w:p w14:paraId="4B90E2D8" w14:textId="2F81A2E5" w:rsidR="00842C1F" w:rsidRPr="009545B7" w:rsidRDefault="00842C1F" w:rsidP="007F2D8B">
      <w:pPr>
        <w:pStyle w:val="Default"/>
        <w:rPr>
          <w:rFonts w:eastAsia="Times New Roman"/>
          <w:color w:val="000000" w:themeColor="text1"/>
        </w:rPr>
      </w:pPr>
      <w:r w:rsidRPr="009545B7">
        <w:rPr>
          <w:rFonts w:eastAsia="Times New Roman"/>
          <w:color w:val="000000" w:themeColor="text1"/>
          <w:lang w:val="en-US"/>
        </w:rPr>
        <w:t xml:space="preserve">HEIDE, M.; VILLENEUVE, J. P. From secrecy privilege to information management: A comparative analysis of classification reforms. </w:t>
      </w:r>
      <w:proofErr w:type="spellStart"/>
      <w:r w:rsidRPr="009545B7">
        <w:rPr>
          <w:rFonts w:eastAsia="Times New Roman"/>
          <w:b/>
          <w:bCs/>
          <w:color w:val="000000" w:themeColor="text1"/>
        </w:rPr>
        <w:t>Government</w:t>
      </w:r>
      <w:proofErr w:type="spellEnd"/>
      <w:r w:rsidRPr="009545B7">
        <w:rPr>
          <w:rFonts w:eastAsia="Times New Roman"/>
          <w:b/>
          <w:bCs/>
          <w:color w:val="000000" w:themeColor="text1"/>
        </w:rPr>
        <w:t xml:space="preserve"> </w:t>
      </w:r>
      <w:proofErr w:type="spellStart"/>
      <w:r w:rsidRPr="009545B7">
        <w:rPr>
          <w:rFonts w:eastAsia="Times New Roman"/>
          <w:b/>
          <w:bCs/>
          <w:color w:val="000000" w:themeColor="text1"/>
        </w:rPr>
        <w:t>Information</w:t>
      </w:r>
      <w:proofErr w:type="spellEnd"/>
      <w:r w:rsidRPr="009545B7">
        <w:rPr>
          <w:rFonts w:eastAsia="Times New Roman"/>
          <w:b/>
          <w:bCs/>
          <w:color w:val="000000" w:themeColor="text1"/>
        </w:rPr>
        <w:t xml:space="preserve"> </w:t>
      </w:r>
      <w:proofErr w:type="spellStart"/>
      <w:r w:rsidRPr="009545B7">
        <w:rPr>
          <w:rFonts w:eastAsia="Times New Roman"/>
          <w:b/>
          <w:bCs/>
          <w:color w:val="000000" w:themeColor="text1"/>
        </w:rPr>
        <w:t>Quarterly</w:t>
      </w:r>
      <w:proofErr w:type="spellEnd"/>
      <w:r w:rsidRPr="009545B7">
        <w:rPr>
          <w:rFonts w:eastAsia="Times New Roman"/>
          <w:color w:val="000000" w:themeColor="text1"/>
        </w:rPr>
        <w:t>.</w:t>
      </w:r>
      <w:r w:rsidRPr="009545B7">
        <w:rPr>
          <w:rFonts w:eastAsia="Times New Roman"/>
          <w:i/>
          <w:iCs/>
          <w:color w:val="000000" w:themeColor="text1"/>
        </w:rPr>
        <w:t xml:space="preserve"> </w:t>
      </w:r>
      <w:r w:rsidRPr="009545B7">
        <w:rPr>
          <w:color w:val="000000" w:themeColor="text1"/>
        </w:rPr>
        <w:t>[</w:t>
      </w:r>
      <w:proofErr w:type="spellStart"/>
      <w:r w:rsidRPr="009545B7">
        <w:rPr>
          <w:color w:val="000000" w:themeColor="text1"/>
        </w:rPr>
        <w:t>s.l</w:t>
      </w:r>
      <w:proofErr w:type="spellEnd"/>
      <w:r w:rsidRPr="009545B7">
        <w:rPr>
          <w:color w:val="000000" w:themeColor="text1"/>
        </w:rPr>
        <w:t>]</w:t>
      </w:r>
      <w:r w:rsidRPr="009545B7">
        <w:rPr>
          <w:rFonts w:eastAsia="Times New Roman"/>
          <w:color w:val="000000" w:themeColor="text1"/>
        </w:rPr>
        <w:t xml:space="preserve">   v. 37 n. 4. 01 out. 2020. </w:t>
      </w:r>
    </w:p>
    <w:p w14:paraId="1B52F1C7" w14:textId="77777777" w:rsidR="0043149E" w:rsidRPr="009545B7" w:rsidRDefault="0043149E" w:rsidP="007F2D8B">
      <w:pPr>
        <w:pStyle w:val="Default"/>
        <w:rPr>
          <w:color w:val="000000" w:themeColor="text1"/>
        </w:rPr>
      </w:pPr>
    </w:p>
    <w:p w14:paraId="105B53E3" w14:textId="581216D0"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HUNTINGTON, S. </w:t>
      </w:r>
      <w:r w:rsidRPr="009545B7">
        <w:rPr>
          <w:rFonts w:eastAsia="Times New Roman"/>
          <w:b/>
          <w:bCs/>
          <w:color w:val="000000" w:themeColor="text1"/>
        </w:rPr>
        <w:t xml:space="preserve">O Soldado e o Estado: </w:t>
      </w:r>
      <w:r w:rsidRPr="009545B7">
        <w:rPr>
          <w:rFonts w:eastAsia="Times New Roman"/>
          <w:color w:val="000000" w:themeColor="text1"/>
        </w:rPr>
        <w:t>Teoria e Política das Relações entre civis e militares. Tradução de José Lívio Dantas.  Rio de Janeiro: Biblioteca do Exército Editora, 1996.</w:t>
      </w:r>
    </w:p>
    <w:p w14:paraId="49021A41" w14:textId="77777777" w:rsidR="0043149E" w:rsidRPr="009545B7" w:rsidRDefault="0043149E" w:rsidP="007F2D8B">
      <w:pPr>
        <w:pStyle w:val="Default"/>
        <w:rPr>
          <w:rFonts w:eastAsia="Times New Roman"/>
          <w:color w:val="000000" w:themeColor="text1"/>
        </w:rPr>
      </w:pPr>
    </w:p>
    <w:p w14:paraId="1AADE6A9" w14:textId="70B610A5"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rPr>
        <w:t xml:space="preserve">GIL, A. C. </w:t>
      </w:r>
      <w:r w:rsidRPr="009545B7">
        <w:rPr>
          <w:rFonts w:eastAsia="Times New Roman"/>
          <w:b/>
          <w:bCs/>
          <w:color w:val="000000" w:themeColor="text1"/>
        </w:rPr>
        <w:t>Como Elaborar Projetos de Pesquisa</w:t>
      </w:r>
      <w:r w:rsidRPr="009545B7">
        <w:rPr>
          <w:rFonts w:eastAsia="Times New Roman"/>
          <w:color w:val="000000" w:themeColor="text1"/>
        </w:rPr>
        <w:t xml:space="preserve">. </w:t>
      </w:r>
      <w:r w:rsidRPr="009545B7">
        <w:rPr>
          <w:rFonts w:eastAsia="Times New Roman"/>
          <w:color w:val="000000" w:themeColor="text1"/>
          <w:lang w:val="en-US"/>
        </w:rPr>
        <w:t xml:space="preserve">São Paulo: 6 </w:t>
      </w:r>
      <w:proofErr w:type="spellStart"/>
      <w:r w:rsidRPr="009545B7">
        <w:rPr>
          <w:rFonts w:eastAsia="Times New Roman"/>
          <w:color w:val="000000" w:themeColor="text1"/>
          <w:lang w:val="en-US"/>
        </w:rPr>
        <w:t>Edição</w:t>
      </w:r>
      <w:proofErr w:type="spellEnd"/>
      <w:r w:rsidRPr="009545B7">
        <w:rPr>
          <w:rFonts w:eastAsia="Times New Roman"/>
          <w:color w:val="000000" w:themeColor="text1"/>
          <w:lang w:val="en-US"/>
        </w:rPr>
        <w:t>, Atlas, 2017.</w:t>
      </w:r>
    </w:p>
    <w:p w14:paraId="13A96C66" w14:textId="77777777" w:rsidR="0043149E" w:rsidRPr="009545B7" w:rsidRDefault="0043149E" w:rsidP="007F2D8B">
      <w:pPr>
        <w:pStyle w:val="Default"/>
        <w:rPr>
          <w:rFonts w:eastAsia="Times New Roman"/>
          <w:color w:val="000000" w:themeColor="text1"/>
          <w:lang w:val="en-US"/>
        </w:rPr>
      </w:pPr>
    </w:p>
    <w:p w14:paraId="1C76A7E8" w14:textId="0A56A97C" w:rsidR="00842C1F" w:rsidRPr="009545B7" w:rsidRDefault="00842C1F" w:rsidP="007F2D8B">
      <w:pPr>
        <w:pStyle w:val="Default"/>
        <w:rPr>
          <w:color w:val="000000" w:themeColor="text1"/>
          <w:lang w:val="en-US"/>
        </w:rPr>
      </w:pPr>
      <w:r w:rsidRPr="009545B7">
        <w:rPr>
          <w:rFonts w:eastAsia="Times New Roman"/>
          <w:color w:val="000000" w:themeColor="text1"/>
          <w:lang w:val="en-US"/>
        </w:rPr>
        <w:t xml:space="preserve">KLAUS, L. C. O. Transforming armed forces through military transparency: Open government challenges in a world of secrecy. </w:t>
      </w:r>
      <w:r w:rsidRPr="009545B7">
        <w:rPr>
          <w:rFonts w:eastAsia="Times New Roman"/>
          <w:b/>
          <w:bCs/>
          <w:color w:val="000000" w:themeColor="text1"/>
          <w:lang w:val="en-US"/>
        </w:rPr>
        <w:t>Transforming Government: People, Process and Policy</w:t>
      </w:r>
      <w:r w:rsidRPr="009545B7">
        <w:rPr>
          <w:rFonts w:eastAsia="Times New Roman"/>
          <w:color w:val="000000" w:themeColor="text1"/>
          <w:lang w:val="en-US"/>
        </w:rPr>
        <w:t xml:space="preserve">, </w:t>
      </w:r>
      <w:r w:rsidRPr="009545B7">
        <w:rPr>
          <w:rFonts w:eastAsia="Times New Roman"/>
          <w:i/>
          <w:iCs/>
          <w:color w:val="000000" w:themeColor="text1"/>
          <w:lang w:val="en-US"/>
        </w:rPr>
        <w:t xml:space="preserve">. </w:t>
      </w:r>
      <w:r w:rsidRPr="009545B7">
        <w:rPr>
          <w:color w:val="000000" w:themeColor="text1"/>
          <w:lang w:val="en-US"/>
        </w:rPr>
        <w:t>[</w:t>
      </w:r>
      <w:proofErr w:type="spellStart"/>
      <w:r w:rsidRPr="009545B7">
        <w:rPr>
          <w:color w:val="000000" w:themeColor="text1"/>
          <w:lang w:val="en-US"/>
        </w:rPr>
        <w:t>s.l</w:t>
      </w:r>
      <w:proofErr w:type="spellEnd"/>
      <w:r w:rsidRPr="009545B7">
        <w:rPr>
          <w:color w:val="000000" w:themeColor="text1"/>
          <w:lang w:val="en-US"/>
        </w:rPr>
        <w:t>]</w:t>
      </w:r>
      <w:r w:rsidRPr="009545B7">
        <w:rPr>
          <w:rFonts w:eastAsia="Times New Roman"/>
          <w:color w:val="000000" w:themeColor="text1"/>
          <w:lang w:val="en-US"/>
        </w:rPr>
        <w:t xml:space="preserve"> v. 10 n.1 , p. 99–119. 21 mar. 2016. </w:t>
      </w:r>
    </w:p>
    <w:p w14:paraId="0F141FD7" w14:textId="56D72326"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lang w:val="en-US"/>
        </w:rPr>
        <w:lastRenderedPageBreak/>
        <w:t xml:space="preserve">KUCIK, J.; PELC, K. J. Measuring the Cost of Privacy: A Look at the Distributional Effects of Private Bargaining. </w:t>
      </w:r>
      <w:r w:rsidRPr="009545B7">
        <w:rPr>
          <w:rFonts w:eastAsia="Times New Roman"/>
          <w:b/>
          <w:bCs/>
          <w:color w:val="000000" w:themeColor="text1"/>
          <w:lang w:val="en-US"/>
        </w:rPr>
        <w:t>British Journal of Political Science</w:t>
      </w:r>
      <w:r w:rsidRPr="009545B7">
        <w:rPr>
          <w:rFonts w:eastAsia="Times New Roman"/>
          <w:color w:val="000000" w:themeColor="text1"/>
          <w:lang w:val="en-US"/>
        </w:rPr>
        <w:t>.</w:t>
      </w:r>
      <w:r w:rsidRPr="009545B7">
        <w:rPr>
          <w:rFonts w:eastAsia="Times New Roman"/>
          <w:i/>
          <w:iCs/>
          <w:color w:val="000000" w:themeColor="text1"/>
          <w:lang w:val="en-US"/>
        </w:rPr>
        <w:t xml:space="preserve"> </w:t>
      </w:r>
      <w:r w:rsidRPr="009545B7">
        <w:rPr>
          <w:color w:val="000000" w:themeColor="text1"/>
          <w:lang w:val="en-US"/>
        </w:rPr>
        <w:t>[</w:t>
      </w:r>
      <w:proofErr w:type="spellStart"/>
      <w:r w:rsidRPr="009545B7">
        <w:rPr>
          <w:color w:val="000000" w:themeColor="text1"/>
          <w:lang w:val="en-US"/>
        </w:rPr>
        <w:t>s.l</w:t>
      </w:r>
      <w:proofErr w:type="spellEnd"/>
      <w:r w:rsidRPr="009545B7">
        <w:rPr>
          <w:color w:val="000000" w:themeColor="text1"/>
          <w:lang w:val="en-US"/>
        </w:rPr>
        <w:t>]</w:t>
      </w:r>
      <w:r w:rsidRPr="009545B7">
        <w:rPr>
          <w:rFonts w:eastAsia="Times New Roman"/>
          <w:color w:val="000000" w:themeColor="text1"/>
          <w:lang w:val="en-US"/>
        </w:rPr>
        <w:t xml:space="preserve"> v. 46 n. 4 p. 861–889 28 </w:t>
      </w:r>
      <w:proofErr w:type="spellStart"/>
      <w:r w:rsidRPr="009545B7">
        <w:rPr>
          <w:rFonts w:eastAsia="Times New Roman"/>
          <w:color w:val="000000" w:themeColor="text1"/>
          <w:lang w:val="en-US"/>
        </w:rPr>
        <w:t>jan.</w:t>
      </w:r>
      <w:proofErr w:type="spellEnd"/>
      <w:r w:rsidRPr="009545B7">
        <w:rPr>
          <w:rFonts w:eastAsia="Times New Roman"/>
          <w:color w:val="000000" w:themeColor="text1"/>
          <w:lang w:val="en-US"/>
        </w:rPr>
        <w:t xml:space="preserve"> 2016. </w:t>
      </w:r>
    </w:p>
    <w:p w14:paraId="166C43B2" w14:textId="77777777" w:rsidR="0043149E" w:rsidRPr="009545B7" w:rsidRDefault="0043149E" w:rsidP="007F2D8B">
      <w:pPr>
        <w:pStyle w:val="Default"/>
        <w:rPr>
          <w:color w:val="000000" w:themeColor="text1"/>
          <w:lang w:val="en-US"/>
        </w:rPr>
      </w:pPr>
    </w:p>
    <w:p w14:paraId="73BE04DD" w14:textId="77777777" w:rsidR="0043149E" w:rsidRPr="009545B7" w:rsidRDefault="00842C1F" w:rsidP="007F2D8B">
      <w:pPr>
        <w:pStyle w:val="Default"/>
        <w:rPr>
          <w:rFonts w:eastAsia="Times New Roman"/>
          <w:color w:val="000000" w:themeColor="text1"/>
        </w:rPr>
      </w:pPr>
      <w:r w:rsidRPr="009545B7">
        <w:rPr>
          <w:rFonts w:eastAsia="Times New Roman"/>
          <w:color w:val="000000" w:themeColor="text1"/>
          <w:lang w:val="en-US"/>
        </w:rPr>
        <w:t xml:space="preserve">MARZUKI, H.; HASNAN, S.; ALI, M. M. Contemporary review of corruption risk studies. </w:t>
      </w:r>
      <w:r w:rsidRPr="009545B7">
        <w:rPr>
          <w:rFonts w:eastAsia="Times New Roman"/>
          <w:b/>
          <w:bCs/>
          <w:color w:val="000000" w:themeColor="text1"/>
        </w:rPr>
        <w:t xml:space="preserve">Virtus </w:t>
      </w:r>
      <w:proofErr w:type="spellStart"/>
      <w:r w:rsidRPr="009545B7">
        <w:rPr>
          <w:rFonts w:eastAsia="Times New Roman"/>
          <w:b/>
          <w:bCs/>
          <w:color w:val="000000" w:themeColor="text1"/>
        </w:rPr>
        <w:t>Interpress</w:t>
      </w:r>
      <w:proofErr w:type="spellEnd"/>
      <w:r w:rsidRPr="009545B7">
        <w:rPr>
          <w:rFonts w:eastAsia="Times New Roman"/>
          <w:i/>
          <w:iCs/>
          <w:color w:val="000000" w:themeColor="text1"/>
        </w:rPr>
        <w:t xml:space="preserve">. </w:t>
      </w:r>
      <w:r w:rsidRPr="009545B7">
        <w:rPr>
          <w:color w:val="000000" w:themeColor="text1"/>
        </w:rPr>
        <w:t>[</w:t>
      </w:r>
      <w:proofErr w:type="spellStart"/>
      <w:r w:rsidRPr="009545B7">
        <w:rPr>
          <w:color w:val="000000" w:themeColor="text1"/>
        </w:rPr>
        <w:t>s.l</w:t>
      </w:r>
      <w:proofErr w:type="spellEnd"/>
      <w:r w:rsidRPr="009545B7">
        <w:rPr>
          <w:color w:val="000000" w:themeColor="text1"/>
        </w:rPr>
        <w:t>]</w:t>
      </w:r>
      <w:r w:rsidRPr="009545B7">
        <w:rPr>
          <w:rFonts w:eastAsia="Times New Roman"/>
          <w:color w:val="000000" w:themeColor="text1"/>
        </w:rPr>
        <w:t xml:space="preserve">   v. </w:t>
      </w:r>
      <w:r w:rsidRPr="009545B7">
        <w:rPr>
          <w:color w:val="000000" w:themeColor="text1"/>
        </w:rPr>
        <w:t>6</w:t>
      </w:r>
      <w:r w:rsidRPr="009545B7">
        <w:rPr>
          <w:i/>
          <w:iCs/>
          <w:color w:val="000000" w:themeColor="text1"/>
        </w:rPr>
        <w:t xml:space="preserve"> </w:t>
      </w:r>
      <w:r w:rsidRPr="009545B7">
        <w:rPr>
          <w:color w:val="000000" w:themeColor="text1"/>
        </w:rPr>
        <w:t xml:space="preserve">n. 2, p. 255–267. </w:t>
      </w:r>
      <w:r w:rsidRPr="009545B7">
        <w:rPr>
          <w:rFonts w:eastAsia="Times New Roman"/>
          <w:color w:val="000000" w:themeColor="text1"/>
        </w:rPr>
        <w:t>31 mai. 2022.</w:t>
      </w:r>
    </w:p>
    <w:p w14:paraId="12162332" w14:textId="29671C86" w:rsidR="00842C1F" w:rsidRPr="009545B7" w:rsidRDefault="00842C1F" w:rsidP="007F2D8B">
      <w:pPr>
        <w:pStyle w:val="Default"/>
        <w:rPr>
          <w:color w:val="000000" w:themeColor="text1"/>
        </w:rPr>
      </w:pPr>
      <w:r w:rsidRPr="009545B7">
        <w:rPr>
          <w:rFonts w:eastAsia="Times New Roman"/>
          <w:color w:val="000000" w:themeColor="text1"/>
        </w:rPr>
        <w:t xml:space="preserve"> </w:t>
      </w:r>
    </w:p>
    <w:p w14:paraId="7650EF75" w14:textId="5BCD775D"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MATIAS-PEREIRA, J. </w:t>
      </w:r>
      <w:r w:rsidRPr="009545B7">
        <w:rPr>
          <w:rFonts w:eastAsia="Times New Roman"/>
          <w:b/>
          <w:bCs/>
          <w:color w:val="000000" w:themeColor="text1"/>
        </w:rPr>
        <w:t>Manual de Gestão Pública Contemporânea</w:t>
      </w:r>
      <w:r w:rsidRPr="009545B7">
        <w:rPr>
          <w:rFonts w:eastAsia="Times New Roman"/>
          <w:color w:val="000000" w:themeColor="text1"/>
        </w:rPr>
        <w:t>. São Paulo: 5 Edição, Atlas, 2016.</w:t>
      </w:r>
    </w:p>
    <w:p w14:paraId="746905F8" w14:textId="77777777" w:rsidR="0043149E" w:rsidRPr="009545B7" w:rsidRDefault="0043149E" w:rsidP="007F2D8B">
      <w:pPr>
        <w:pStyle w:val="Default"/>
        <w:rPr>
          <w:rFonts w:eastAsia="Times New Roman"/>
          <w:color w:val="000000" w:themeColor="text1"/>
        </w:rPr>
      </w:pPr>
    </w:p>
    <w:p w14:paraId="19FF417C" w14:textId="7C16FD77" w:rsidR="00842C1F" w:rsidRPr="009545B7" w:rsidRDefault="00842C1F" w:rsidP="007F2D8B">
      <w:pPr>
        <w:pStyle w:val="Default"/>
        <w:rPr>
          <w:color w:val="000000" w:themeColor="text1"/>
          <w:lang w:val="en-US"/>
        </w:rPr>
      </w:pPr>
      <w:r w:rsidRPr="009545B7">
        <w:rPr>
          <w:color w:val="000000" w:themeColor="text1"/>
        </w:rPr>
        <w:t xml:space="preserve">OLIVEIRA, A. G. de; PISA, B. J. </w:t>
      </w:r>
      <w:proofErr w:type="spellStart"/>
      <w:r w:rsidRPr="009545B7">
        <w:rPr>
          <w:color w:val="000000" w:themeColor="text1"/>
        </w:rPr>
        <w:t>IGovP</w:t>
      </w:r>
      <w:proofErr w:type="spellEnd"/>
      <w:r w:rsidRPr="009545B7">
        <w:rPr>
          <w:color w:val="000000" w:themeColor="text1"/>
        </w:rPr>
        <w:t xml:space="preserve">: índice de avaliação da governança pública - instrumento de planejamento do Estado e de controle social pelo cidadão. </w:t>
      </w:r>
      <w:proofErr w:type="spellStart"/>
      <w:r w:rsidRPr="009545B7">
        <w:rPr>
          <w:b/>
          <w:bCs/>
          <w:color w:val="000000" w:themeColor="text1"/>
          <w:lang w:val="en-US"/>
        </w:rPr>
        <w:t>Revista</w:t>
      </w:r>
      <w:proofErr w:type="spellEnd"/>
      <w:r w:rsidRPr="009545B7">
        <w:rPr>
          <w:b/>
          <w:bCs/>
          <w:color w:val="000000" w:themeColor="text1"/>
          <w:lang w:val="en-US"/>
        </w:rPr>
        <w:t xml:space="preserve"> de </w:t>
      </w:r>
      <w:proofErr w:type="spellStart"/>
      <w:r w:rsidRPr="009545B7">
        <w:rPr>
          <w:b/>
          <w:bCs/>
          <w:color w:val="000000" w:themeColor="text1"/>
          <w:lang w:val="en-US"/>
        </w:rPr>
        <w:t>Administração</w:t>
      </w:r>
      <w:proofErr w:type="spellEnd"/>
      <w:r w:rsidRPr="009545B7">
        <w:rPr>
          <w:b/>
          <w:bCs/>
          <w:color w:val="000000" w:themeColor="text1"/>
          <w:lang w:val="en-US"/>
        </w:rPr>
        <w:t xml:space="preserve"> </w:t>
      </w:r>
      <w:proofErr w:type="spellStart"/>
      <w:r w:rsidRPr="009545B7">
        <w:rPr>
          <w:b/>
          <w:bCs/>
          <w:color w:val="000000" w:themeColor="text1"/>
          <w:lang w:val="en-US"/>
        </w:rPr>
        <w:t>Pública</w:t>
      </w:r>
      <w:proofErr w:type="spellEnd"/>
      <w:r w:rsidRPr="009545B7">
        <w:rPr>
          <w:color w:val="000000" w:themeColor="text1"/>
          <w:lang w:val="en-US"/>
        </w:rPr>
        <w:t>, [</w:t>
      </w:r>
      <w:proofErr w:type="spellStart"/>
      <w:r w:rsidRPr="009545B7">
        <w:rPr>
          <w:color w:val="000000" w:themeColor="text1"/>
          <w:lang w:val="en-US"/>
        </w:rPr>
        <w:t>s.l</w:t>
      </w:r>
      <w:proofErr w:type="spellEnd"/>
      <w:r w:rsidRPr="009545B7">
        <w:rPr>
          <w:color w:val="000000" w:themeColor="text1"/>
          <w:lang w:val="en-US"/>
        </w:rPr>
        <w:t xml:space="preserve">] v. 49, p. 1263–1290, 01 set. 2015. </w:t>
      </w:r>
    </w:p>
    <w:p w14:paraId="1906C089" w14:textId="77777777" w:rsidR="0043149E" w:rsidRPr="009545B7" w:rsidRDefault="0043149E" w:rsidP="007F2D8B">
      <w:pPr>
        <w:pStyle w:val="Default"/>
        <w:rPr>
          <w:color w:val="000000" w:themeColor="text1"/>
          <w:lang w:val="en-US"/>
        </w:rPr>
      </w:pPr>
    </w:p>
    <w:p w14:paraId="707FEDC3" w14:textId="3314F673" w:rsidR="00842C1F" w:rsidRPr="009545B7" w:rsidRDefault="00842C1F" w:rsidP="007F2D8B">
      <w:pPr>
        <w:pStyle w:val="Default"/>
        <w:rPr>
          <w:rFonts w:eastAsia="Times New Roman"/>
          <w:color w:val="000000" w:themeColor="text1"/>
        </w:rPr>
      </w:pPr>
      <w:r w:rsidRPr="009545B7">
        <w:rPr>
          <w:rFonts w:eastAsia="Times New Roman"/>
          <w:color w:val="000000" w:themeColor="text1"/>
          <w:lang w:val="en-US"/>
        </w:rPr>
        <w:t xml:space="preserve">OSBORNE, S. P. </w:t>
      </w:r>
      <w:r w:rsidRPr="009545B7">
        <w:rPr>
          <w:rFonts w:eastAsia="Times New Roman"/>
          <w:b/>
          <w:bCs/>
          <w:color w:val="000000" w:themeColor="text1"/>
          <w:lang w:val="en-US"/>
        </w:rPr>
        <w:t xml:space="preserve">The New Public Governance?: </w:t>
      </w:r>
      <w:r w:rsidRPr="009545B7">
        <w:rPr>
          <w:rFonts w:eastAsia="Times New Roman"/>
          <w:color w:val="000000" w:themeColor="text1"/>
          <w:lang w:val="en-US"/>
        </w:rPr>
        <w:t xml:space="preserve">Emerging Perspectives on the Theory and Practice of Public Governance. </w:t>
      </w:r>
      <w:r w:rsidRPr="009545B7">
        <w:rPr>
          <w:rFonts w:eastAsia="Times New Roman"/>
          <w:color w:val="000000" w:themeColor="text1"/>
        </w:rPr>
        <w:t xml:space="preserve">Nova York: </w:t>
      </w:r>
      <w:proofErr w:type="spellStart"/>
      <w:r w:rsidRPr="009545B7">
        <w:rPr>
          <w:rFonts w:eastAsia="Times New Roman"/>
          <w:color w:val="000000" w:themeColor="text1"/>
        </w:rPr>
        <w:t>Routledge</w:t>
      </w:r>
      <w:proofErr w:type="spellEnd"/>
      <w:r w:rsidRPr="009545B7">
        <w:rPr>
          <w:rFonts w:eastAsia="Times New Roman"/>
          <w:color w:val="000000" w:themeColor="text1"/>
        </w:rPr>
        <w:t>, 2010.</w:t>
      </w:r>
    </w:p>
    <w:p w14:paraId="463F79D6" w14:textId="77777777" w:rsidR="0043149E" w:rsidRPr="009545B7" w:rsidRDefault="0043149E" w:rsidP="007F2D8B">
      <w:pPr>
        <w:pStyle w:val="Default"/>
        <w:rPr>
          <w:rFonts w:eastAsia="Times New Roman"/>
          <w:color w:val="000000" w:themeColor="text1"/>
        </w:rPr>
      </w:pPr>
    </w:p>
    <w:p w14:paraId="55CF5BED" w14:textId="0C31DB57" w:rsidR="005E4B34" w:rsidRPr="009545B7" w:rsidRDefault="005E4B34" w:rsidP="007F2D8B">
      <w:pPr>
        <w:spacing w:after="0" w:line="240" w:lineRule="auto"/>
        <w:ind w:firstLine="0"/>
        <w:jc w:val="left"/>
        <w:rPr>
          <w:rFonts w:ascii="Times New Roman" w:eastAsia="Times New Roman" w:hAnsi="Times New Roman" w:cs="Times New Roman"/>
          <w:color w:val="000000" w:themeColor="text1"/>
          <w:sz w:val="24"/>
          <w:szCs w:val="24"/>
        </w:rPr>
      </w:pPr>
      <w:r w:rsidRPr="009545B7">
        <w:rPr>
          <w:rFonts w:ascii="Times New Roman" w:eastAsia="Times New Roman" w:hAnsi="Times New Roman" w:cs="Times New Roman"/>
          <w:color w:val="000000" w:themeColor="text1"/>
          <w:sz w:val="24"/>
          <w:szCs w:val="24"/>
        </w:rPr>
        <w:t>PAGE, M. J. et al. A declaração PRISMA 2020: diretriz atualizada para relatar revisões sistemáticas</w:t>
      </w:r>
      <w:r w:rsidRPr="009545B7">
        <w:rPr>
          <w:rFonts w:ascii="Times New Roman" w:eastAsia="Times New Roman" w:hAnsi="Times New Roman" w:cs="Times New Roman"/>
          <w:b/>
          <w:bCs/>
          <w:color w:val="000000" w:themeColor="text1"/>
          <w:sz w:val="24"/>
          <w:szCs w:val="24"/>
        </w:rPr>
        <w:t xml:space="preserve">. </w:t>
      </w:r>
      <w:proofErr w:type="spellStart"/>
      <w:r w:rsidRPr="009545B7">
        <w:rPr>
          <w:rFonts w:ascii="Times New Roman" w:eastAsia="Times New Roman" w:hAnsi="Times New Roman" w:cs="Times New Roman"/>
          <w:b/>
          <w:bCs/>
          <w:color w:val="000000" w:themeColor="text1"/>
          <w:sz w:val="24"/>
          <w:szCs w:val="24"/>
        </w:rPr>
        <w:t>Epidemiol</w:t>
      </w:r>
      <w:proofErr w:type="spellEnd"/>
      <w:r w:rsidRPr="009545B7">
        <w:rPr>
          <w:rFonts w:ascii="Times New Roman" w:eastAsia="Times New Roman" w:hAnsi="Times New Roman" w:cs="Times New Roman"/>
          <w:b/>
          <w:bCs/>
          <w:color w:val="000000" w:themeColor="text1"/>
          <w:sz w:val="24"/>
          <w:szCs w:val="24"/>
        </w:rPr>
        <w:t>. Serv. Saúde</w:t>
      </w:r>
      <w:r w:rsidRPr="009545B7">
        <w:rPr>
          <w:rFonts w:ascii="Times New Roman" w:eastAsia="Times New Roman" w:hAnsi="Times New Roman" w:cs="Times New Roman"/>
          <w:color w:val="000000" w:themeColor="text1"/>
          <w:sz w:val="24"/>
          <w:szCs w:val="24"/>
        </w:rPr>
        <w:t xml:space="preserve">, v. 31, n. 2. Brasília, DF: 2022. </w:t>
      </w:r>
    </w:p>
    <w:p w14:paraId="6FB84EDA" w14:textId="77777777" w:rsidR="0043149E" w:rsidRPr="009545B7" w:rsidRDefault="0043149E" w:rsidP="007F2D8B">
      <w:pPr>
        <w:spacing w:after="0" w:line="240" w:lineRule="auto"/>
        <w:ind w:firstLine="0"/>
        <w:jc w:val="left"/>
        <w:rPr>
          <w:rFonts w:ascii="Times New Roman" w:eastAsia="Times New Roman" w:hAnsi="Times New Roman" w:cs="Times New Roman"/>
          <w:color w:val="000000" w:themeColor="text1"/>
          <w:sz w:val="24"/>
          <w:szCs w:val="24"/>
        </w:rPr>
      </w:pPr>
    </w:p>
    <w:p w14:paraId="76D1491F" w14:textId="2B909763"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PAGLIARI, G. D. C.; VIGGIANO, J.. Transparência em Defesa: um panorama das medidas de construção de confiança sul-americanas. </w:t>
      </w:r>
      <w:r w:rsidRPr="009545B7">
        <w:rPr>
          <w:rFonts w:eastAsia="Times New Roman"/>
          <w:b/>
          <w:bCs/>
          <w:color w:val="000000" w:themeColor="text1"/>
        </w:rPr>
        <w:t>Revista Brasileira de Estudos de Defesa,</w:t>
      </w:r>
      <w:r w:rsidRPr="009545B7">
        <w:rPr>
          <w:rFonts w:eastAsia="Times New Roman"/>
          <w:color w:val="000000" w:themeColor="text1"/>
        </w:rPr>
        <w:t xml:space="preserve"> [</w:t>
      </w:r>
      <w:proofErr w:type="spellStart"/>
      <w:r w:rsidRPr="009545B7">
        <w:rPr>
          <w:rFonts w:eastAsia="Times New Roman"/>
          <w:color w:val="000000" w:themeColor="text1"/>
        </w:rPr>
        <w:t>s.l</w:t>
      </w:r>
      <w:proofErr w:type="spellEnd"/>
      <w:r w:rsidRPr="009545B7">
        <w:rPr>
          <w:rFonts w:eastAsia="Times New Roman"/>
          <w:color w:val="000000" w:themeColor="text1"/>
        </w:rPr>
        <w:t xml:space="preserve">.] v. 7 n.1 p. 43-66, 01 jun. 2020. </w:t>
      </w:r>
    </w:p>
    <w:p w14:paraId="650C6962" w14:textId="77777777" w:rsidR="0043149E" w:rsidRPr="009545B7" w:rsidRDefault="0043149E" w:rsidP="007F2D8B">
      <w:pPr>
        <w:pStyle w:val="Default"/>
        <w:rPr>
          <w:color w:val="000000" w:themeColor="text1"/>
        </w:rPr>
      </w:pPr>
    </w:p>
    <w:p w14:paraId="55EF310F" w14:textId="23C32D85"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lang w:val="en-US"/>
        </w:rPr>
        <w:t xml:space="preserve">PYMAN, M.; FOOT, P.; FLURI, P. Building Transparency and reducing  corruption in Defense. </w:t>
      </w:r>
      <w:r w:rsidRPr="009545B7">
        <w:rPr>
          <w:rFonts w:eastAsia="Times New Roman"/>
          <w:b/>
          <w:bCs/>
          <w:color w:val="000000" w:themeColor="text1"/>
          <w:lang w:val="en-US"/>
        </w:rPr>
        <w:t>Workshop of Institutional and Inter-governmental Practitioners</w:t>
      </w:r>
      <w:r w:rsidRPr="009545B7">
        <w:rPr>
          <w:rFonts w:eastAsia="Times New Roman"/>
          <w:color w:val="000000" w:themeColor="text1"/>
          <w:lang w:val="en-US"/>
        </w:rPr>
        <w:t>, [</w:t>
      </w:r>
      <w:proofErr w:type="spellStart"/>
      <w:r w:rsidRPr="009545B7">
        <w:rPr>
          <w:rFonts w:eastAsia="Times New Roman"/>
          <w:color w:val="000000" w:themeColor="text1"/>
          <w:lang w:val="en-US"/>
        </w:rPr>
        <w:t>s.l.</w:t>
      </w:r>
      <w:proofErr w:type="spellEnd"/>
      <w:r w:rsidRPr="009545B7">
        <w:rPr>
          <w:rFonts w:eastAsia="Times New Roman"/>
          <w:color w:val="000000" w:themeColor="text1"/>
          <w:lang w:val="en-US"/>
        </w:rPr>
        <w:t xml:space="preserve">] 7 </w:t>
      </w:r>
      <w:proofErr w:type="spellStart"/>
      <w:r w:rsidRPr="009545B7">
        <w:rPr>
          <w:rFonts w:eastAsia="Times New Roman"/>
          <w:color w:val="000000" w:themeColor="text1"/>
          <w:lang w:val="en-US"/>
        </w:rPr>
        <w:t>mai</w:t>
      </w:r>
      <w:proofErr w:type="spellEnd"/>
      <w:r w:rsidRPr="009545B7">
        <w:rPr>
          <w:rFonts w:eastAsia="Times New Roman"/>
          <w:color w:val="000000" w:themeColor="text1"/>
          <w:lang w:val="en-US"/>
        </w:rPr>
        <w:t xml:space="preserve">. 2008. </w:t>
      </w:r>
    </w:p>
    <w:p w14:paraId="11B61159" w14:textId="77777777" w:rsidR="0043149E" w:rsidRPr="009545B7" w:rsidRDefault="0043149E" w:rsidP="007F2D8B">
      <w:pPr>
        <w:pStyle w:val="Default"/>
        <w:rPr>
          <w:color w:val="000000" w:themeColor="text1"/>
          <w:lang w:val="en-US"/>
        </w:rPr>
      </w:pPr>
    </w:p>
    <w:p w14:paraId="5439DD98" w14:textId="6ED0E9EF" w:rsidR="00842C1F" w:rsidRPr="009545B7" w:rsidRDefault="00842C1F" w:rsidP="007F2D8B">
      <w:pPr>
        <w:pStyle w:val="Default"/>
        <w:rPr>
          <w:color w:val="000000" w:themeColor="text1"/>
          <w:lang w:val="en-US"/>
        </w:rPr>
      </w:pPr>
      <w:r w:rsidRPr="009545B7">
        <w:rPr>
          <w:color w:val="000000" w:themeColor="text1"/>
        </w:rPr>
        <w:t xml:space="preserve">RASCHENDORFER, É. V. A nova Governança Pública no contexto brasileiro: uma análise conceitual no Programa Netuno. </w:t>
      </w:r>
      <w:proofErr w:type="spellStart"/>
      <w:r w:rsidRPr="009545B7">
        <w:rPr>
          <w:b/>
          <w:bCs/>
          <w:color w:val="000000" w:themeColor="text1"/>
          <w:lang w:val="en-US"/>
        </w:rPr>
        <w:t>Revista</w:t>
      </w:r>
      <w:proofErr w:type="spellEnd"/>
      <w:r w:rsidRPr="009545B7">
        <w:rPr>
          <w:b/>
          <w:bCs/>
          <w:color w:val="000000" w:themeColor="text1"/>
          <w:lang w:val="en-US"/>
        </w:rPr>
        <w:t xml:space="preserve"> </w:t>
      </w:r>
      <w:proofErr w:type="spellStart"/>
      <w:r w:rsidRPr="009545B7">
        <w:rPr>
          <w:b/>
          <w:bCs/>
          <w:color w:val="000000" w:themeColor="text1"/>
          <w:lang w:val="en-US"/>
        </w:rPr>
        <w:t>Acanto</w:t>
      </w:r>
      <w:proofErr w:type="spellEnd"/>
      <w:r w:rsidRPr="009545B7">
        <w:rPr>
          <w:color w:val="000000" w:themeColor="text1"/>
          <w:lang w:val="en-US"/>
        </w:rPr>
        <w:t>, Rio de Janeiro, n</w:t>
      </w:r>
      <w:r w:rsidR="009545B7">
        <w:rPr>
          <w:color w:val="000000" w:themeColor="text1"/>
          <w:lang w:val="en-US"/>
        </w:rPr>
        <w:t>.</w:t>
      </w:r>
      <w:r w:rsidRPr="009545B7">
        <w:rPr>
          <w:color w:val="000000" w:themeColor="text1"/>
          <w:lang w:val="en-US"/>
        </w:rPr>
        <w:t xml:space="preserve"> 6, p. 132-142, 2019. </w:t>
      </w:r>
    </w:p>
    <w:p w14:paraId="088DC17B" w14:textId="77777777" w:rsidR="00412132" w:rsidRPr="009545B7" w:rsidRDefault="00412132" w:rsidP="007F2D8B">
      <w:pPr>
        <w:pStyle w:val="Default"/>
        <w:rPr>
          <w:color w:val="000000" w:themeColor="text1"/>
          <w:lang w:val="en-US"/>
        </w:rPr>
      </w:pPr>
    </w:p>
    <w:p w14:paraId="4F5A6192" w14:textId="23BEEE83" w:rsidR="00412132" w:rsidRPr="009545B7" w:rsidRDefault="00842C1F" w:rsidP="007F2D8B">
      <w:pPr>
        <w:pStyle w:val="Default"/>
        <w:rPr>
          <w:rFonts w:eastAsia="Times New Roman"/>
          <w:color w:val="000000" w:themeColor="text1"/>
        </w:rPr>
      </w:pPr>
      <w:r w:rsidRPr="009545B7">
        <w:rPr>
          <w:rFonts w:eastAsia="Times New Roman"/>
          <w:color w:val="000000" w:themeColor="text1"/>
          <w:lang w:val="en-US"/>
        </w:rPr>
        <w:t xml:space="preserve">RINGEL, L. Unpacking the Transparency-Secrecy Nexus: Frontstage and backstage </w:t>
      </w:r>
      <w:proofErr w:type="spellStart"/>
      <w:r w:rsidRPr="009545B7">
        <w:rPr>
          <w:rFonts w:eastAsia="Times New Roman"/>
          <w:color w:val="000000" w:themeColor="text1"/>
          <w:lang w:val="en-US"/>
        </w:rPr>
        <w:t>behaviour</w:t>
      </w:r>
      <w:proofErr w:type="spellEnd"/>
      <w:r w:rsidRPr="009545B7">
        <w:rPr>
          <w:rFonts w:eastAsia="Times New Roman"/>
          <w:color w:val="000000" w:themeColor="text1"/>
          <w:lang w:val="en-US"/>
        </w:rPr>
        <w:t xml:space="preserve"> in a political party. </w:t>
      </w:r>
      <w:proofErr w:type="spellStart"/>
      <w:r w:rsidRPr="009545B7">
        <w:rPr>
          <w:rFonts w:eastAsia="Times New Roman"/>
          <w:b/>
          <w:bCs/>
          <w:color w:val="000000" w:themeColor="text1"/>
        </w:rPr>
        <w:t>Organization</w:t>
      </w:r>
      <w:proofErr w:type="spellEnd"/>
      <w:r w:rsidRPr="009545B7">
        <w:rPr>
          <w:rFonts w:eastAsia="Times New Roman"/>
          <w:b/>
          <w:bCs/>
          <w:color w:val="000000" w:themeColor="text1"/>
        </w:rPr>
        <w:t xml:space="preserve"> </w:t>
      </w:r>
      <w:proofErr w:type="spellStart"/>
      <w:r w:rsidRPr="009545B7">
        <w:rPr>
          <w:rFonts w:eastAsia="Times New Roman"/>
          <w:b/>
          <w:bCs/>
          <w:color w:val="000000" w:themeColor="text1"/>
        </w:rPr>
        <w:t>Studies</w:t>
      </w:r>
      <w:proofErr w:type="spellEnd"/>
      <w:r w:rsidRPr="009545B7">
        <w:rPr>
          <w:rFonts w:eastAsia="Times New Roman"/>
          <w:color w:val="000000" w:themeColor="text1"/>
        </w:rPr>
        <w:t>. v. 40 n.</w:t>
      </w:r>
      <w:r w:rsidR="009545B7">
        <w:rPr>
          <w:rFonts w:eastAsia="Times New Roman"/>
          <w:color w:val="000000" w:themeColor="text1"/>
        </w:rPr>
        <w:t xml:space="preserve"> </w:t>
      </w:r>
      <w:r w:rsidRPr="009545B7">
        <w:rPr>
          <w:rFonts w:eastAsia="Times New Roman"/>
          <w:color w:val="000000" w:themeColor="text1"/>
        </w:rPr>
        <w:t>5, p. 705–723, 23 mar. 2019</w:t>
      </w:r>
      <w:r w:rsidR="00F86F5C" w:rsidRPr="009545B7">
        <w:rPr>
          <w:rFonts w:eastAsia="Times New Roman"/>
          <w:color w:val="000000" w:themeColor="text1"/>
        </w:rPr>
        <w:t>.</w:t>
      </w:r>
    </w:p>
    <w:p w14:paraId="061DD5B1" w14:textId="77777777" w:rsidR="00412132" w:rsidRPr="009545B7" w:rsidRDefault="00412132" w:rsidP="007F2D8B">
      <w:pPr>
        <w:pStyle w:val="Default"/>
        <w:rPr>
          <w:rFonts w:eastAsia="Times New Roman"/>
          <w:color w:val="000000" w:themeColor="text1"/>
        </w:rPr>
      </w:pPr>
    </w:p>
    <w:p w14:paraId="5E0A39FA" w14:textId="10C4487E" w:rsidR="00842C1F" w:rsidRPr="009545B7" w:rsidRDefault="00842C1F" w:rsidP="007F2D8B">
      <w:pPr>
        <w:autoSpaceDE w:val="0"/>
        <w:autoSpaceDN w:val="0"/>
        <w:adjustRightInd w:val="0"/>
        <w:spacing w:after="0" w:line="240" w:lineRule="auto"/>
        <w:ind w:firstLine="0"/>
        <w:jc w:val="left"/>
        <w:rPr>
          <w:rFonts w:ascii="Times New Roman" w:eastAsia="Times New Roman" w:hAnsi="Times New Roman" w:cs="Times New Roman"/>
          <w:color w:val="000000" w:themeColor="text1"/>
          <w:sz w:val="24"/>
          <w:szCs w:val="24"/>
        </w:rPr>
      </w:pPr>
      <w:r w:rsidRPr="009545B7">
        <w:rPr>
          <w:rFonts w:ascii="Times New Roman" w:eastAsia="Times New Roman" w:hAnsi="Times New Roman" w:cs="Times New Roman"/>
          <w:color w:val="000000" w:themeColor="text1"/>
          <w:sz w:val="24"/>
          <w:szCs w:val="24"/>
        </w:rPr>
        <w:t xml:space="preserve">SANTOS, A. C. </w:t>
      </w:r>
      <w:r w:rsidRPr="009545B7">
        <w:rPr>
          <w:rFonts w:ascii="Times New Roman" w:eastAsia="Times New Roman" w:hAnsi="Times New Roman" w:cs="Times New Roman"/>
          <w:b/>
          <w:bCs/>
          <w:color w:val="000000" w:themeColor="text1"/>
          <w:sz w:val="24"/>
          <w:szCs w:val="24"/>
        </w:rPr>
        <w:t>A governança no setor público e a sua influência sobre a execução do programa estratégico do Exército Guarani</w:t>
      </w:r>
      <w:r w:rsidRPr="009545B7">
        <w:rPr>
          <w:rFonts w:ascii="Times New Roman" w:eastAsia="Times New Roman" w:hAnsi="Times New Roman" w:cs="Times New Roman"/>
          <w:color w:val="000000" w:themeColor="text1"/>
          <w:sz w:val="24"/>
          <w:szCs w:val="24"/>
        </w:rPr>
        <w:t>. Dissertação (Mestrado em Ciências Militares) - Escola de Comando e Estado-Maior do Exército, Rio de Janeiro, 2018.</w:t>
      </w:r>
    </w:p>
    <w:p w14:paraId="551DD659" w14:textId="77777777" w:rsidR="0043149E" w:rsidRPr="009545B7" w:rsidRDefault="0043149E" w:rsidP="007F2D8B">
      <w:pPr>
        <w:autoSpaceDE w:val="0"/>
        <w:autoSpaceDN w:val="0"/>
        <w:adjustRightInd w:val="0"/>
        <w:spacing w:after="0" w:line="240" w:lineRule="auto"/>
        <w:ind w:firstLine="0"/>
        <w:jc w:val="left"/>
        <w:rPr>
          <w:rFonts w:ascii="Times New Roman" w:eastAsia="Times New Roman" w:hAnsi="Times New Roman" w:cs="Times New Roman"/>
          <w:color w:val="000000" w:themeColor="text1"/>
          <w:sz w:val="24"/>
          <w:szCs w:val="24"/>
        </w:rPr>
      </w:pPr>
    </w:p>
    <w:p w14:paraId="495F1F82" w14:textId="74B50698"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SILVA, R. A. A. </w:t>
      </w:r>
      <w:r w:rsidRPr="009545B7">
        <w:rPr>
          <w:rFonts w:eastAsia="Times New Roman"/>
          <w:b/>
          <w:bCs/>
          <w:color w:val="000000" w:themeColor="text1"/>
        </w:rPr>
        <w:t xml:space="preserve">O acesso à informação nas Forças Armadas e no Ministério da Defesa do Brasil: </w:t>
      </w:r>
      <w:r w:rsidRPr="009545B7">
        <w:rPr>
          <w:rFonts w:eastAsia="Times New Roman"/>
          <w:color w:val="000000" w:themeColor="text1"/>
        </w:rPr>
        <w:t>Entre a Transparência e a Opacidade. Dissertação ( Mestrado em Ciência da Informação) – Faculdade de Ciência da Informação, Universidade de Brasília, Brasília, 2021.</w:t>
      </w:r>
    </w:p>
    <w:p w14:paraId="5FCAF57F" w14:textId="77777777" w:rsidR="0043149E" w:rsidRPr="009545B7" w:rsidRDefault="0043149E" w:rsidP="007F2D8B">
      <w:pPr>
        <w:pStyle w:val="Default"/>
        <w:rPr>
          <w:rFonts w:eastAsia="Times New Roman"/>
          <w:color w:val="000000" w:themeColor="text1"/>
        </w:rPr>
      </w:pPr>
    </w:p>
    <w:p w14:paraId="6148A972" w14:textId="24625031" w:rsidR="00842C1F" w:rsidRPr="009545B7" w:rsidRDefault="00842C1F" w:rsidP="007F2D8B">
      <w:pPr>
        <w:pStyle w:val="Default"/>
        <w:rPr>
          <w:rFonts w:eastAsia="Times New Roman"/>
          <w:color w:val="000000" w:themeColor="text1"/>
        </w:rPr>
      </w:pPr>
      <w:r w:rsidRPr="009545B7">
        <w:rPr>
          <w:rFonts w:eastAsia="Times New Roman"/>
          <w:color w:val="000000" w:themeColor="text1"/>
        </w:rPr>
        <w:t xml:space="preserve">TEIXEIRA, A. F.; GOMES, R. C. Governança pública: uma revisão conceitual. </w:t>
      </w:r>
      <w:r w:rsidRPr="009545B7">
        <w:rPr>
          <w:rFonts w:eastAsia="Times New Roman"/>
          <w:b/>
          <w:bCs/>
          <w:color w:val="000000" w:themeColor="text1"/>
        </w:rPr>
        <w:t>Rev. Serv. Público</w:t>
      </w:r>
      <w:r w:rsidRPr="009545B7">
        <w:rPr>
          <w:rFonts w:eastAsia="Times New Roman"/>
          <w:color w:val="000000" w:themeColor="text1"/>
        </w:rPr>
        <w:t xml:space="preserve"> Brasília v. 70  n. 4. p. 519-550. 27 dez. 2019. </w:t>
      </w:r>
    </w:p>
    <w:p w14:paraId="6AAB2337" w14:textId="77777777" w:rsidR="0043149E" w:rsidRPr="009545B7" w:rsidRDefault="0043149E" w:rsidP="007F2D8B">
      <w:pPr>
        <w:pStyle w:val="Default"/>
        <w:rPr>
          <w:rFonts w:eastAsia="Times New Roman"/>
          <w:color w:val="000000" w:themeColor="text1"/>
        </w:rPr>
      </w:pPr>
    </w:p>
    <w:p w14:paraId="3B9977D8" w14:textId="4D2A2227" w:rsidR="00842C1F" w:rsidRPr="009545B7" w:rsidRDefault="00842C1F" w:rsidP="007F2D8B">
      <w:pPr>
        <w:pStyle w:val="Default"/>
        <w:rPr>
          <w:rFonts w:eastAsia="Times New Roman"/>
          <w:color w:val="000000" w:themeColor="text1"/>
          <w:lang w:val="en-US"/>
        </w:rPr>
      </w:pPr>
      <w:r w:rsidRPr="009545B7">
        <w:rPr>
          <w:rFonts w:eastAsia="Times New Roman"/>
          <w:color w:val="000000" w:themeColor="text1"/>
        </w:rPr>
        <w:t xml:space="preserve">VELJKOVIC, N.; BOGDANOVIC, S.; STOIMENOV, L. Benchmarking open </w:t>
      </w:r>
      <w:proofErr w:type="spellStart"/>
      <w:r w:rsidRPr="009545B7">
        <w:rPr>
          <w:rFonts w:eastAsia="Times New Roman"/>
          <w:color w:val="000000" w:themeColor="text1"/>
        </w:rPr>
        <w:t>government</w:t>
      </w:r>
      <w:proofErr w:type="spellEnd"/>
      <w:r w:rsidRPr="009545B7">
        <w:rPr>
          <w:rFonts w:eastAsia="Times New Roman"/>
          <w:color w:val="000000" w:themeColor="text1"/>
        </w:rPr>
        <w:t xml:space="preserve">: </w:t>
      </w:r>
      <w:proofErr w:type="spellStart"/>
      <w:r w:rsidRPr="009545B7">
        <w:rPr>
          <w:rFonts w:eastAsia="Times New Roman"/>
          <w:color w:val="000000" w:themeColor="text1"/>
        </w:rPr>
        <w:t>An</w:t>
      </w:r>
      <w:proofErr w:type="spellEnd"/>
      <w:r w:rsidRPr="009545B7">
        <w:rPr>
          <w:rFonts w:eastAsia="Times New Roman"/>
          <w:color w:val="000000" w:themeColor="text1"/>
        </w:rPr>
        <w:t xml:space="preserve"> open data perspective. </w:t>
      </w:r>
      <w:r w:rsidRPr="009545B7">
        <w:rPr>
          <w:rFonts w:eastAsia="Times New Roman"/>
          <w:b/>
          <w:bCs/>
          <w:color w:val="000000" w:themeColor="text1"/>
          <w:lang w:val="en-US"/>
        </w:rPr>
        <w:t>Government Information Quarterly</w:t>
      </w:r>
      <w:r w:rsidRPr="009545B7">
        <w:rPr>
          <w:rFonts w:eastAsia="Times New Roman"/>
          <w:color w:val="000000" w:themeColor="text1"/>
          <w:lang w:val="en-US"/>
        </w:rPr>
        <w:t xml:space="preserve"> 2014. v. 31 n. 2. p. 278-290. 27 </w:t>
      </w:r>
      <w:r w:rsidR="0066429A" w:rsidRPr="009545B7">
        <w:rPr>
          <w:rFonts w:eastAsia="Times New Roman"/>
          <w:color w:val="000000" w:themeColor="text1"/>
          <w:lang w:val="en-US"/>
        </w:rPr>
        <w:t>abr</w:t>
      </w:r>
      <w:r w:rsidRPr="009545B7">
        <w:rPr>
          <w:rFonts w:eastAsia="Times New Roman"/>
          <w:color w:val="000000" w:themeColor="text1"/>
          <w:lang w:val="en-US"/>
        </w:rPr>
        <w:t>. 2014</w:t>
      </w:r>
      <w:r w:rsidR="0066429A" w:rsidRPr="009545B7">
        <w:rPr>
          <w:rFonts w:eastAsia="Times New Roman"/>
          <w:color w:val="000000" w:themeColor="text1"/>
          <w:lang w:val="en-US"/>
        </w:rPr>
        <w:t>.</w:t>
      </w:r>
    </w:p>
    <w:p w14:paraId="12912AFA" w14:textId="77777777" w:rsidR="00842C1F" w:rsidRPr="009545B7" w:rsidRDefault="00842C1F" w:rsidP="00000EC1">
      <w:pPr>
        <w:autoSpaceDE w:val="0"/>
        <w:autoSpaceDN w:val="0"/>
        <w:spacing w:after="0" w:line="240" w:lineRule="auto"/>
        <w:rPr>
          <w:rFonts w:ascii="Times New Roman" w:eastAsia="Times New Roman" w:hAnsi="Times New Roman" w:cs="Times New Roman"/>
          <w:color w:val="000000" w:themeColor="text1"/>
          <w:lang w:val="en-US"/>
        </w:rPr>
      </w:pPr>
    </w:p>
    <w:p w14:paraId="662A792F" w14:textId="77777777" w:rsidR="00842C1F" w:rsidRPr="009545B7" w:rsidRDefault="00842C1F" w:rsidP="00000EC1">
      <w:pPr>
        <w:autoSpaceDE w:val="0"/>
        <w:autoSpaceDN w:val="0"/>
        <w:spacing w:after="0" w:line="240" w:lineRule="auto"/>
        <w:rPr>
          <w:rFonts w:ascii="Times New Roman" w:hAnsi="Times New Roman" w:cs="Times New Roman"/>
          <w:color w:val="000000" w:themeColor="text1"/>
          <w:sz w:val="18"/>
          <w:szCs w:val="18"/>
          <w:lang w:val="en-US"/>
        </w:rPr>
      </w:pPr>
    </w:p>
    <w:p w14:paraId="0677DB0A" w14:textId="77777777" w:rsidR="00842C1F" w:rsidRPr="009545B7" w:rsidRDefault="00842C1F" w:rsidP="00000EC1">
      <w:pPr>
        <w:autoSpaceDE w:val="0"/>
        <w:autoSpaceDN w:val="0"/>
        <w:spacing w:after="0" w:line="240" w:lineRule="auto"/>
        <w:rPr>
          <w:rFonts w:ascii="Times New Roman" w:hAnsi="Times New Roman" w:cs="Times New Roman"/>
          <w:color w:val="000000" w:themeColor="text1"/>
          <w:sz w:val="18"/>
          <w:szCs w:val="18"/>
          <w:lang w:val="en-US"/>
        </w:rPr>
      </w:pPr>
    </w:p>
    <w:p w14:paraId="03869BF7" w14:textId="77777777" w:rsidR="00842C1F" w:rsidRPr="009545B7" w:rsidRDefault="00842C1F" w:rsidP="00000EC1">
      <w:pPr>
        <w:autoSpaceDE w:val="0"/>
        <w:autoSpaceDN w:val="0"/>
        <w:spacing w:after="0" w:line="240" w:lineRule="auto"/>
        <w:rPr>
          <w:rFonts w:ascii="Times New Roman" w:eastAsia="Times New Roman" w:hAnsi="Times New Roman" w:cs="Times New Roman"/>
          <w:color w:val="000000" w:themeColor="text1"/>
          <w:lang w:val="en-US"/>
        </w:rPr>
      </w:pPr>
    </w:p>
    <w:p w14:paraId="5E1A0036" w14:textId="77777777" w:rsidR="00842C1F" w:rsidRPr="009545B7" w:rsidRDefault="00842C1F" w:rsidP="00000EC1">
      <w:pPr>
        <w:autoSpaceDE w:val="0"/>
        <w:autoSpaceDN w:val="0"/>
        <w:adjustRightInd w:val="0"/>
        <w:spacing w:after="0" w:line="240" w:lineRule="auto"/>
        <w:rPr>
          <w:rFonts w:ascii="Times New Roman" w:hAnsi="Times New Roman" w:cs="Times New Roman"/>
          <w:color w:val="000000" w:themeColor="text1"/>
          <w:lang w:val="en-US"/>
        </w:rPr>
      </w:pPr>
    </w:p>
    <w:p w14:paraId="2686FB46" w14:textId="77777777" w:rsidR="00842C1F" w:rsidRPr="009545B7" w:rsidRDefault="00842C1F" w:rsidP="00000EC1">
      <w:pPr>
        <w:autoSpaceDE w:val="0"/>
        <w:autoSpaceDN w:val="0"/>
        <w:adjustRightInd w:val="0"/>
        <w:spacing w:after="0" w:line="240" w:lineRule="auto"/>
        <w:rPr>
          <w:rFonts w:ascii="Times New Roman" w:hAnsi="Times New Roman" w:cs="Times New Roman"/>
          <w:color w:val="000000" w:themeColor="text1"/>
          <w:lang w:val="en-US"/>
        </w:rPr>
      </w:pPr>
    </w:p>
    <w:p w14:paraId="2362763C" w14:textId="77777777" w:rsidR="00842C1F" w:rsidRPr="009545B7" w:rsidRDefault="00842C1F" w:rsidP="00000EC1">
      <w:pPr>
        <w:autoSpaceDE w:val="0"/>
        <w:autoSpaceDN w:val="0"/>
        <w:adjustRightInd w:val="0"/>
        <w:spacing w:before="240" w:after="0" w:line="240" w:lineRule="auto"/>
        <w:ind w:firstLine="0"/>
        <w:rPr>
          <w:rFonts w:ascii="Times New Roman" w:hAnsi="Times New Roman" w:cs="Times New Roman"/>
          <w:color w:val="000000" w:themeColor="text1"/>
          <w:sz w:val="24"/>
          <w:szCs w:val="24"/>
          <w:lang w:val="en-US"/>
        </w:rPr>
      </w:pPr>
    </w:p>
    <w:p w14:paraId="32EF6573" w14:textId="77777777" w:rsidR="00842C1F" w:rsidRPr="009545B7" w:rsidRDefault="00842C1F" w:rsidP="00000EC1">
      <w:pPr>
        <w:spacing w:after="0" w:line="240" w:lineRule="auto"/>
        <w:ind w:firstLine="0"/>
        <w:rPr>
          <w:rFonts w:ascii="Times New Roman" w:hAnsi="Times New Roman" w:cs="Times New Roman"/>
          <w:color w:val="000000" w:themeColor="text1"/>
          <w:sz w:val="24"/>
          <w:szCs w:val="24"/>
          <w:lang w:val="en-US"/>
        </w:rPr>
      </w:pPr>
    </w:p>
    <w:p w14:paraId="2513B78F" w14:textId="77777777" w:rsidR="00842C1F" w:rsidRPr="009545B7" w:rsidRDefault="00842C1F" w:rsidP="00000EC1">
      <w:pPr>
        <w:spacing w:after="0" w:line="240" w:lineRule="auto"/>
        <w:ind w:firstLine="0"/>
        <w:rPr>
          <w:rFonts w:ascii="Times New Roman" w:hAnsi="Times New Roman" w:cs="Times New Roman"/>
          <w:b/>
          <w:bCs/>
          <w:color w:val="000000" w:themeColor="text1"/>
          <w:sz w:val="24"/>
          <w:szCs w:val="24"/>
          <w:lang w:val="en-US"/>
        </w:rPr>
      </w:pPr>
    </w:p>
    <w:p w14:paraId="0075A712" w14:textId="77777777" w:rsidR="00842C1F" w:rsidRPr="009545B7" w:rsidRDefault="00842C1F" w:rsidP="00000EC1">
      <w:pPr>
        <w:spacing w:after="0" w:line="240" w:lineRule="auto"/>
        <w:ind w:firstLine="0"/>
        <w:rPr>
          <w:rFonts w:ascii="Times New Roman" w:hAnsi="Times New Roman" w:cs="Times New Roman"/>
          <w:b/>
          <w:bCs/>
          <w:color w:val="000000" w:themeColor="text1"/>
          <w:sz w:val="24"/>
          <w:szCs w:val="24"/>
          <w:lang w:val="en-US"/>
        </w:rPr>
      </w:pPr>
    </w:p>
    <w:p w14:paraId="544703D6" w14:textId="77777777" w:rsidR="00842C1F" w:rsidRPr="009545B7" w:rsidRDefault="00842C1F" w:rsidP="00000EC1">
      <w:pPr>
        <w:spacing w:after="0" w:line="240" w:lineRule="auto"/>
        <w:rPr>
          <w:rFonts w:ascii="Times New Roman" w:hAnsi="Times New Roman" w:cs="Times New Roman"/>
          <w:color w:val="000000" w:themeColor="text1"/>
          <w:lang w:val="en-US"/>
        </w:rPr>
      </w:pPr>
    </w:p>
    <w:sectPr w:rsidR="00842C1F" w:rsidRPr="009545B7" w:rsidSect="007F2D8B">
      <w:headerReference w:type="default" r:id="rId20"/>
      <w:footerReference w:type="even" r:id="rId21"/>
      <w:footerReference w:type="default" r:id="rId22"/>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8009" w14:textId="77777777" w:rsidR="00C3471C" w:rsidRDefault="00C3471C">
      <w:pPr>
        <w:spacing w:after="0" w:line="240" w:lineRule="auto"/>
      </w:pPr>
      <w:r>
        <w:separator/>
      </w:r>
    </w:p>
  </w:endnote>
  <w:endnote w:type="continuationSeparator" w:id="0">
    <w:p w14:paraId="13943544" w14:textId="77777777" w:rsidR="00C3471C" w:rsidRDefault="00C3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tling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opia Std">
    <w:altName w:val="Cambria"/>
    <w:panose1 w:val="020B0604020202020204"/>
    <w:charset w:val="00"/>
    <w:family w:val="roman"/>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6364988"/>
      <w:docPartObj>
        <w:docPartGallery w:val="Page Numbers (Bottom of Page)"/>
        <w:docPartUnique/>
      </w:docPartObj>
    </w:sdtPr>
    <w:sdtContent>
      <w:p w14:paraId="5048A5AA" w14:textId="6F6D258B" w:rsidR="007F2D8B" w:rsidRDefault="007F2D8B" w:rsidP="007373B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D9F8A5" w14:textId="77777777" w:rsidR="007F2D8B" w:rsidRDefault="007F2D8B" w:rsidP="007F2D8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22046887"/>
      <w:docPartObj>
        <w:docPartGallery w:val="Page Numbers (Bottom of Page)"/>
        <w:docPartUnique/>
      </w:docPartObj>
    </w:sdtPr>
    <w:sdtContent>
      <w:p w14:paraId="5EE9EB97" w14:textId="1754EFFC" w:rsidR="007F2D8B" w:rsidRDefault="007F2D8B" w:rsidP="007373B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C5ADAC9" w14:textId="77777777" w:rsidR="007F2D8B" w:rsidRDefault="007F2D8B" w:rsidP="007F2D8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3A49" w14:textId="77777777" w:rsidR="00C3471C" w:rsidRDefault="00C3471C">
      <w:pPr>
        <w:spacing w:after="0" w:line="240" w:lineRule="auto"/>
      </w:pPr>
      <w:r>
        <w:separator/>
      </w:r>
    </w:p>
  </w:footnote>
  <w:footnote w:type="continuationSeparator" w:id="0">
    <w:p w14:paraId="44F6217A" w14:textId="77777777" w:rsidR="00C3471C" w:rsidRDefault="00C3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FA19" w14:textId="0A8EF233" w:rsidR="0062667E" w:rsidRDefault="00000000" w:rsidP="007D3CA4">
    <w:pPr>
      <w:pStyle w:val="Cabealho"/>
    </w:pPr>
  </w:p>
  <w:p w14:paraId="0B65802B" w14:textId="77777777" w:rsidR="0062667E"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70DE"/>
    <w:multiLevelType w:val="hybridMultilevel"/>
    <w:tmpl w:val="4410ADC0"/>
    <w:lvl w:ilvl="0" w:tplc="23D02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6B1A51"/>
    <w:multiLevelType w:val="hybridMultilevel"/>
    <w:tmpl w:val="4410A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5540058">
    <w:abstractNumId w:val="0"/>
  </w:num>
  <w:num w:numId="2" w16cid:durableId="121485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1F"/>
    <w:rsid w:val="00000EC1"/>
    <w:rsid w:val="0001226B"/>
    <w:rsid w:val="000214CE"/>
    <w:rsid w:val="000813C3"/>
    <w:rsid w:val="000C4F3B"/>
    <w:rsid w:val="00124B69"/>
    <w:rsid w:val="00164C5A"/>
    <w:rsid w:val="00167396"/>
    <w:rsid w:val="001869BD"/>
    <w:rsid w:val="001C17BB"/>
    <w:rsid w:val="001C1C3C"/>
    <w:rsid w:val="001C7372"/>
    <w:rsid w:val="001F199E"/>
    <w:rsid w:val="001F50F0"/>
    <w:rsid w:val="00203940"/>
    <w:rsid w:val="0021248A"/>
    <w:rsid w:val="002313E0"/>
    <w:rsid w:val="00237C7D"/>
    <w:rsid w:val="002939C5"/>
    <w:rsid w:val="002D06AA"/>
    <w:rsid w:val="002D199A"/>
    <w:rsid w:val="00301851"/>
    <w:rsid w:val="003022B8"/>
    <w:rsid w:val="00305237"/>
    <w:rsid w:val="003163E9"/>
    <w:rsid w:val="00332D3F"/>
    <w:rsid w:val="003D33A6"/>
    <w:rsid w:val="003F2E84"/>
    <w:rsid w:val="003F6F9A"/>
    <w:rsid w:val="00412132"/>
    <w:rsid w:val="00413B84"/>
    <w:rsid w:val="0043149E"/>
    <w:rsid w:val="004451CB"/>
    <w:rsid w:val="00477A2F"/>
    <w:rsid w:val="004B5200"/>
    <w:rsid w:val="004B58C7"/>
    <w:rsid w:val="00511457"/>
    <w:rsid w:val="00517434"/>
    <w:rsid w:val="00533353"/>
    <w:rsid w:val="00544EEE"/>
    <w:rsid w:val="0056672F"/>
    <w:rsid w:val="005B7883"/>
    <w:rsid w:val="005E4B34"/>
    <w:rsid w:val="005E6138"/>
    <w:rsid w:val="005F278B"/>
    <w:rsid w:val="00610503"/>
    <w:rsid w:val="006528CF"/>
    <w:rsid w:val="0066429A"/>
    <w:rsid w:val="006F2E8C"/>
    <w:rsid w:val="006F48D2"/>
    <w:rsid w:val="00730D14"/>
    <w:rsid w:val="00731FF3"/>
    <w:rsid w:val="00746AD9"/>
    <w:rsid w:val="0078749D"/>
    <w:rsid w:val="0079370B"/>
    <w:rsid w:val="007D3CA4"/>
    <w:rsid w:val="007F2D8B"/>
    <w:rsid w:val="00842C1F"/>
    <w:rsid w:val="00854E7A"/>
    <w:rsid w:val="0086203C"/>
    <w:rsid w:val="0089500F"/>
    <w:rsid w:val="008B7124"/>
    <w:rsid w:val="008D318B"/>
    <w:rsid w:val="008F7CF8"/>
    <w:rsid w:val="00900DEF"/>
    <w:rsid w:val="009119ED"/>
    <w:rsid w:val="009545B7"/>
    <w:rsid w:val="009C001C"/>
    <w:rsid w:val="00A04539"/>
    <w:rsid w:val="00A1018A"/>
    <w:rsid w:val="00A36BB9"/>
    <w:rsid w:val="00A65BE2"/>
    <w:rsid w:val="00A67DC3"/>
    <w:rsid w:val="00A95A6A"/>
    <w:rsid w:val="00AB679F"/>
    <w:rsid w:val="00AF6410"/>
    <w:rsid w:val="00B1196D"/>
    <w:rsid w:val="00B260E6"/>
    <w:rsid w:val="00B36EC1"/>
    <w:rsid w:val="00B84AF0"/>
    <w:rsid w:val="00BB7974"/>
    <w:rsid w:val="00BC4E23"/>
    <w:rsid w:val="00BD3D6E"/>
    <w:rsid w:val="00C3471C"/>
    <w:rsid w:val="00C5173C"/>
    <w:rsid w:val="00C53FC1"/>
    <w:rsid w:val="00C553A2"/>
    <w:rsid w:val="00C71845"/>
    <w:rsid w:val="00CE1B77"/>
    <w:rsid w:val="00CF7554"/>
    <w:rsid w:val="00D10D56"/>
    <w:rsid w:val="00D64529"/>
    <w:rsid w:val="00DE0698"/>
    <w:rsid w:val="00DE24EE"/>
    <w:rsid w:val="00E01ACF"/>
    <w:rsid w:val="00E107AD"/>
    <w:rsid w:val="00E569E9"/>
    <w:rsid w:val="00EE739B"/>
    <w:rsid w:val="00EF048A"/>
    <w:rsid w:val="00F34ACB"/>
    <w:rsid w:val="00F45F96"/>
    <w:rsid w:val="00F55E07"/>
    <w:rsid w:val="00F57610"/>
    <w:rsid w:val="00F61799"/>
    <w:rsid w:val="00F61F30"/>
    <w:rsid w:val="00F86F5C"/>
    <w:rsid w:val="00F936B3"/>
    <w:rsid w:val="00FA1CFD"/>
    <w:rsid w:val="00FA7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0A46"/>
  <w15:chartTrackingRefBased/>
  <w15:docId w15:val="{197B71C8-7DF5-4FA5-8560-D51C984F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1F"/>
  </w:style>
  <w:style w:type="paragraph" w:styleId="Ttulo1">
    <w:name w:val="heading 1"/>
    <w:basedOn w:val="Normal"/>
    <w:next w:val="Normal"/>
    <w:link w:val="Ttulo1Char"/>
    <w:autoRedefine/>
    <w:uiPriority w:val="9"/>
    <w:qFormat/>
    <w:rsid w:val="00842C1F"/>
    <w:pPr>
      <w:keepNext/>
      <w:keepLines/>
      <w:spacing w:before="240" w:after="0" w:line="240" w:lineRule="auto"/>
      <w:ind w:firstLine="0"/>
      <w:jc w:val="left"/>
      <w:outlineLvl w:val="0"/>
    </w:pPr>
    <w:rPr>
      <w:rFonts w:ascii="Times New Roman" w:eastAsiaTheme="majorEastAsia" w:hAnsi="Times New Roman" w:cstheme="majorBidi"/>
      <w:color w:val="000000" w:themeColor="text1"/>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2C1F"/>
    <w:rPr>
      <w:rFonts w:ascii="Times New Roman" w:eastAsiaTheme="majorEastAsia" w:hAnsi="Times New Roman" w:cstheme="majorBidi"/>
      <w:color w:val="000000" w:themeColor="text1"/>
      <w:sz w:val="24"/>
      <w:szCs w:val="32"/>
    </w:rPr>
  </w:style>
  <w:style w:type="paragraph" w:customStyle="1" w:styleId="citacaoabnt">
    <w:name w:val="citacao abnt"/>
    <w:basedOn w:val="Normal"/>
    <w:link w:val="citacaoabntChar"/>
    <w:qFormat/>
    <w:rsid w:val="00842C1F"/>
    <w:pPr>
      <w:spacing w:before="30" w:after="30" w:line="240" w:lineRule="auto"/>
      <w:ind w:left="5760" w:firstLine="0"/>
    </w:pPr>
    <w:rPr>
      <w:rFonts w:ascii="Times New Roman" w:hAnsi="Times New Roman"/>
      <w:sz w:val="20"/>
      <w:szCs w:val="24"/>
    </w:rPr>
  </w:style>
  <w:style w:type="character" w:customStyle="1" w:styleId="citacaoabntChar">
    <w:name w:val="citacao abnt Char"/>
    <w:basedOn w:val="Fontepargpadro"/>
    <w:link w:val="citacaoabnt"/>
    <w:rsid w:val="00842C1F"/>
    <w:rPr>
      <w:rFonts w:ascii="Times New Roman" w:hAnsi="Times New Roman"/>
      <w:sz w:val="20"/>
      <w:szCs w:val="24"/>
    </w:rPr>
  </w:style>
  <w:style w:type="paragraph" w:customStyle="1" w:styleId="Default">
    <w:name w:val="Default"/>
    <w:link w:val="DefaultChar"/>
    <w:qFormat/>
    <w:rsid w:val="00842C1F"/>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NormalWeb">
    <w:name w:val="Normal (Web)"/>
    <w:basedOn w:val="Normal"/>
    <w:uiPriority w:val="99"/>
    <w:unhideWhenUsed/>
    <w:qFormat/>
    <w:rsid w:val="00842C1F"/>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42C1F"/>
  </w:style>
  <w:style w:type="character" w:styleId="nfase">
    <w:name w:val="Emphasis"/>
    <w:basedOn w:val="Fontepargpadro"/>
    <w:uiPriority w:val="20"/>
    <w:qFormat/>
    <w:rsid w:val="00842C1F"/>
    <w:rPr>
      <w:i/>
      <w:iCs/>
    </w:rPr>
  </w:style>
  <w:style w:type="paragraph" w:customStyle="1" w:styleId="Pa14">
    <w:name w:val="Pa14"/>
    <w:basedOn w:val="Default"/>
    <w:next w:val="Default"/>
    <w:uiPriority w:val="99"/>
    <w:rsid w:val="00842C1F"/>
    <w:pPr>
      <w:spacing w:line="241" w:lineRule="atLeast"/>
    </w:pPr>
    <w:rPr>
      <w:rFonts w:ascii="Utopia Std" w:hAnsi="Utopia Std" w:cstheme="minorBidi"/>
      <w:color w:val="auto"/>
    </w:rPr>
  </w:style>
  <w:style w:type="character" w:styleId="Refdecomentrio">
    <w:name w:val="annotation reference"/>
    <w:basedOn w:val="Fontepargpadro"/>
    <w:uiPriority w:val="99"/>
    <w:semiHidden/>
    <w:unhideWhenUsed/>
    <w:rsid w:val="00842C1F"/>
    <w:rPr>
      <w:sz w:val="16"/>
      <w:szCs w:val="16"/>
    </w:rPr>
  </w:style>
  <w:style w:type="paragraph" w:styleId="Textodecomentrio">
    <w:name w:val="annotation text"/>
    <w:basedOn w:val="Normal"/>
    <w:link w:val="TextodecomentrioChar"/>
    <w:uiPriority w:val="99"/>
    <w:unhideWhenUsed/>
    <w:rsid w:val="00842C1F"/>
    <w:pPr>
      <w:spacing w:after="0" w:line="240" w:lineRule="auto"/>
      <w:ind w:firstLine="0"/>
      <w:jc w:val="left"/>
    </w:pPr>
    <w:rPr>
      <w:sz w:val="20"/>
      <w:szCs w:val="20"/>
    </w:rPr>
  </w:style>
  <w:style w:type="character" w:customStyle="1" w:styleId="TextodecomentrioChar">
    <w:name w:val="Texto de comentário Char"/>
    <w:basedOn w:val="Fontepargpadro"/>
    <w:link w:val="Textodecomentrio"/>
    <w:uiPriority w:val="99"/>
    <w:rsid w:val="00842C1F"/>
    <w:rPr>
      <w:sz w:val="20"/>
      <w:szCs w:val="20"/>
    </w:rPr>
  </w:style>
  <w:style w:type="paragraph" w:styleId="Assuntodocomentrio">
    <w:name w:val="annotation subject"/>
    <w:basedOn w:val="Textodecomentrio"/>
    <w:next w:val="Textodecomentrio"/>
    <w:link w:val="AssuntodocomentrioChar"/>
    <w:uiPriority w:val="99"/>
    <w:semiHidden/>
    <w:unhideWhenUsed/>
    <w:rsid w:val="00842C1F"/>
    <w:rPr>
      <w:b/>
      <w:bCs/>
    </w:rPr>
  </w:style>
  <w:style w:type="character" w:customStyle="1" w:styleId="AssuntodocomentrioChar">
    <w:name w:val="Assunto do comentário Char"/>
    <w:basedOn w:val="TextodecomentrioChar"/>
    <w:link w:val="Assuntodocomentrio"/>
    <w:uiPriority w:val="99"/>
    <w:semiHidden/>
    <w:rsid w:val="00842C1F"/>
    <w:rPr>
      <w:b/>
      <w:bCs/>
      <w:sz w:val="20"/>
      <w:szCs w:val="20"/>
    </w:rPr>
  </w:style>
  <w:style w:type="character" w:styleId="Hyperlink">
    <w:name w:val="Hyperlink"/>
    <w:basedOn w:val="Fontepargpadro"/>
    <w:uiPriority w:val="99"/>
    <w:unhideWhenUsed/>
    <w:rsid w:val="00842C1F"/>
    <w:rPr>
      <w:color w:val="0000FF"/>
      <w:u w:val="single"/>
    </w:rPr>
  </w:style>
  <w:style w:type="paragraph" w:styleId="Pr-formataoHTML">
    <w:name w:val="HTML Preformatted"/>
    <w:basedOn w:val="Normal"/>
    <w:link w:val="Pr-formataoHTMLChar"/>
    <w:uiPriority w:val="99"/>
    <w:semiHidden/>
    <w:unhideWhenUsed/>
    <w:rsid w:val="0084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42C1F"/>
    <w:rPr>
      <w:rFonts w:ascii="Courier New" w:eastAsia="Times New Roman" w:hAnsi="Courier New" w:cs="Courier New"/>
      <w:sz w:val="20"/>
      <w:szCs w:val="20"/>
      <w:lang w:eastAsia="pt-BR"/>
    </w:rPr>
  </w:style>
  <w:style w:type="character" w:customStyle="1" w:styleId="y2iqfc">
    <w:name w:val="y2iqfc"/>
    <w:basedOn w:val="Fontepargpadro"/>
    <w:rsid w:val="00842C1F"/>
  </w:style>
  <w:style w:type="character" w:styleId="TextodoEspaoReservado">
    <w:name w:val="Placeholder Text"/>
    <w:basedOn w:val="Fontepargpadro"/>
    <w:uiPriority w:val="99"/>
    <w:semiHidden/>
    <w:rsid w:val="00842C1F"/>
    <w:rPr>
      <w:color w:val="808080"/>
    </w:rPr>
  </w:style>
  <w:style w:type="character" w:styleId="Forte">
    <w:name w:val="Strong"/>
    <w:basedOn w:val="Fontepargpadro"/>
    <w:uiPriority w:val="22"/>
    <w:qFormat/>
    <w:rsid w:val="00842C1F"/>
    <w:rPr>
      <w:b/>
      <w:bCs/>
    </w:rPr>
  </w:style>
  <w:style w:type="paragraph" w:styleId="Cabealho">
    <w:name w:val="header"/>
    <w:basedOn w:val="Normal"/>
    <w:link w:val="CabealhoChar"/>
    <w:uiPriority w:val="99"/>
    <w:unhideWhenUsed/>
    <w:rsid w:val="00842C1F"/>
    <w:pPr>
      <w:tabs>
        <w:tab w:val="center" w:pos="4513"/>
        <w:tab w:val="right" w:pos="9026"/>
      </w:tabs>
      <w:spacing w:after="0" w:line="240" w:lineRule="auto"/>
      <w:ind w:firstLine="0"/>
      <w:jc w:val="left"/>
    </w:pPr>
    <w:rPr>
      <w:sz w:val="24"/>
      <w:szCs w:val="24"/>
    </w:rPr>
  </w:style>
  <w:style w:type="character" w:customStyle="1" w:styleId="CabealhoChar">
    <w:name w:val="Cabeçalho Char"/>
    <w:basedOn w:val="Fontepargpadro"/>
    <w:link w:val="Cabealho"/>
    <w:uiPriority w:val="99"/>
    <w:rsid w:val="00842C1F"/>
    <w:rPr>
      <w:sz w:val="24"/>
      <w:szCs w:val="24"/>
    </w:rPr>
  </w:style>
  <w:style w:type="paragraph" w:styleId="Rodap">
    <w:name w:val="footer"/>
    <w:basedOn w:val="Normal"/>
    <w:link w:val="RodapChar"/>
    <w:uiPriority w:val="99"/>
    <w:unhideWhenUsed/>
    <w:rsid w:val="00842C1F"/>
    <w:pPr>
      <w:tabs>
        <w:tab w:val="center" w:pos="4513"/>
        <w:tab w:val="right" w:pos="9026"/>
      </w:tabs>
      <w:spacing w:after="0" w:line="240" w:lineRule="auto"/>
      <w:ind w:firstLine="0"/>
      <w:jc w:val="left"/>
    </w:pPr>
    <w:rPr>
      <w:sz w:val="24"/>
      <w:szCs w:val="24"/>
    </w:rPr>
  </w:style>
  <w:style w:type="character" w:customStyle="1" w:styleId="RodapChar">
    <w:name w:val="Rodapé Char"/>
    <w:basedOn w:val="Fontepargpadro"/>
    <w:link w:val="Rodap"/>
    <w:uiPriority w:val="99"/>
    <w:rsid w:val="00842C1F"/>
    <w:rPr>
      <w:sz w:val="24"/>
      <w:szCs w:val="24"/>
    </w:rPr>
  </w:style>
  <w:style w:type="paragraph" w:styleId="PargrafodaLista">
    <w:name w:val="List Paragraph"/>
    <w:basedOn w:val="Normal"/>
    <w:uiPriority w:val="34"/>
    <w:qFormat/>
    <w:rsid w:val="00842C1F"/>
    <w:pPr>
      <w:spacing w:after="0" w:line="240" w:lineRule="auto"/>
      <w:ind w:left="720" w:firstLine="0"/>
      <w:contextualSpacing/>
      <w:jc w:val="left"/>
    </w:pPr>
    <w:rPr>
      <w:sz w:val="24"/>
      <w:szCs w:val="24"/>
    </w:rPr>
  </w:style>
  <w:style w:type="character" w:styleId="MenoPendente">
    <w:name w:val="Unresolved Mention"/>
    <w:basedOn w:val="Fontepargpadro"/>
    <w:uiPriority w:val="99"/>
    <w:semiHidden/>
    <w:unhideWhenUsed/>
    <w:rsid w:val="00842C1F"/>
    <w:rPr>
      <w:color w:val="605E5C"/>
      <w:shd w:val="clear" w:color="auto" w:fill="E1DFDD"/>
    </w:rPr>
  </w:style>
  <w:style w:type="character" w:styleId="HiperlinkVisitado">
    <w:name w:val="FollowedHyperlink"/>
    <w:basedOn w:val="Fontepargpadro"/>
    <w:uiPriority w:val="99"/>
    <w:semiHidden/>
    <w:unhideWhenUsed/>
    <w:rsid w:val="00842C1F"/>
    <w:rPr>
      <w:color w:val="954F72" w:themeColor="followedHyperlink"/>
      <w:u w:val="single"/>
    </w:rPr>
  </w:style>
  <w:style w:type="paragraph" w:styleId="SemEspaamento">
    <w:name w:val="No Spacing"/>
    <w:uiPriority w:val="1"/>
    <w:qFormat/>
    <w:rsid w:val="00842C1F"/>
    <w:pPr>
      <w:spacing w:after="0" w:line="240" w:lineRule="auto"/>
      <w:ind w:firstLine="0"/>
      <w:jc w:val="left"/>
    </w:pPr>
    <w:rPr>
      <w:sz w:val="24"/>
      <w:szCs w:val="24"/>
    </w:rPr>
  </w:style>
  <w:style w:type="paragraph" w:styleId="Reviso">
    <w:name w:val="Revision"/>
    <w:hidden/>
    <w:uiPriority w:val="99"/>
    <w:semiHidden/>
    <w:rsid w:val="00842C1F"/>
    <w:pPr>
      <w:spacing w:after="0" w:line="240" w:lineRule="auto"/>
      <w:ind w:firstLine="0"/>
      <w:jc w:val="left"/>
    </w:pPr>
  </w:style>
  <w:style w:type="paragraph" w:customStyle="1" w:styleId="Estilo1">
    <w:name w:val="Estilo1"/>
    <w:basedOn w:val="Default"/>
    <w:link w:val="Estilo1Char"/>
    <w:qFormat/>
    <w:rsid w:val="00842C1F"/>
    <w:pPr>
      <w:spacing w:before="240"/>
      <w:jc w:val="both"/>
    </w:pPr>
    <w:rPr>
      <w:rFonts w:ascii="Arial" w:hAnsi="Arial" w:cs="Arial"/>
      <w:b/>
      <w:bCs/>
    </w:rPr>
  </w:style>
  <w:style w:type="paragraph" w:customStyle="1" w:styleId="Estilo2">
    <w:name w:val="Estilo2"/>
    <w:basedOn w:val="Normal"/>
    <w:link w:val="Estilo2Char"/>
    <w:qFormat/>
    <w:rsid w:val="00842C1F"/>
    <w:pPr>
      <w:autoSpaceDE w:val="0"/>
      <w:autoSpaceDN w:val="0"/>
      <w:adjustRightInd w:val="0"/>
      <w:spacing w:before="240"/>
      <w:ind w:firstLine="0"/>
    </w:pPr>
    <w:rPr>
      <w:rFonts w:ascii="Arial" w:hAnsi="Arial" w:cs="Arial"/>
      <w:sz w:val="24"/>
      <w:szCs w:val="24"/>
    </w:rPr>
  </w:style>
  <w:style w:type="character" w:customStyle="1" w:styleId="DefaultChar">
    <w:name w:val="Default Char"/>
    <w:basedOn w:val="Fontepargpadro"/>
    <w:link w:val="Default"/>
    <w:rsid w:val="00842C1F"/>
    <w:rPr>
      <w:rFonts w:ascii="Times New Roman" w:hAnsi="Times New Roman" w:cs="Times New Roman"/>
      <w:color w:val="000000"/>
      <w:sz w:val="24"/>
      <w:szCs w:val="24"/>
    </w:rPr>
  </w:style>
  <w:style w:type="character" w:customStyle="1" w:styleId="Estilo1Char">
    <w:name w:val="Estilo1 Char"/>
    <w:basedOn w:val="DefaultChar"/>
    <w:link w:val="Estilo1"/>
    <w:rsid w:val="00842C1F"/>
    <w:rPr>
      <w:rFonts w:ascii="Arial" w:hAnsi="Arial" w:cs="Arial"/>
      <w:b/>
      <w:bCs/>
      <w:color w:val="000000"/>
      <w:sz w:val="24"/>
      <w:szCs w:val="24"/>
    </w:rPr>
  </w:style>
  <w:style w:type="paragraph" w:customStyle="1" w:styleId="Estilo3">
    <w:name w:val="Estilo3"/>
    <w:basedOn w:val="Default"/>
    <w:link w:val="Estilo3Char"/>
    <w:qFormat/>
    <w:rsid w:val="00842C1F"/>
    <w:pPr>
      <w:spacing w:before="240"/>
      <w:jc w:val="both"/>
    </w:pPr>
    <w:rPr>
      <w:rFonts w:ascii="Arial" w:hAnsi="Arial" w:cs="Arial"/>
      <w:color w:val="000000" w:themeColor="text1"/>
    </w:rPr>
  </w:style>
  <w:style w:type="character" w:customStyle="1" w:styleId="Estilo2Char">
    <w:name w:val="Estilo2 Char"/>
    <w:basedOn w:val="Fontepargpadro"/>
    <w:link w:val="Estilo2"/>
    <w:rsid w:val="00842C1F"/>
    <w:rPr>
      <w:rFonts w:ascii="Arial" w:hAnsi="Arial" w:cs="Arial"/>
      <w:sz w:val="24"/>
      <w:szCs w:val="24"/>
    </w:rPr>
  </w:style>
  <w:style w:type="paragraph" w:styleId="Sumrio2">
    <w:name w:val="toc 2"/>
    <w:basedOn w:val="Normal"/>
    <w:next w:val="Normal"/>
    <w:autoRedefine/>
    <w:uiPriority w:val="39"/>
    <w:unhideWhenUsed/>
    <w:rsid w:val="00842C1F"/>
    <w:pPr>
      <w:spacing w:after="100"/>
      <w:ind w:left="220"/>
    </w:pPr>
  </w:style>
  <w:style w:type="character" w:customStyle="1" w:styleId="Estilo3Char">
    <w:name w:val="Estilo3 Char"/>
    <w:basedOn w:val="DefaultChar"/>
    <w:link w:val="Estilo3"/>
    <w:rsid w:val="00842C1F"/>
    <w:rPr>
      <w:rFonts w:ascii="Arial" w:hAnsi="Arial" w:cs="Arial"/>
      <w:color w:val="000000" w:themeColor="text1"/>
      <w:sz w:val="24"/>
      <w:szCs w:val="24"/>
    </w:rPr>
  </w:style>
  <w:style w:type="paragraph" w:styleId="Sumrio1">
    <w:name w:val="toc 1"/>
    <w:basedOn w:val="Normal"/>
    <w:next w:val="Normal"/>
    <w:autoRedefine/>
    <w:uiPriority w:val="39"/>
    <w:unhideWhenUsed/>
    <w:rsid w:val="00842C1F"/>
    <w:pPr>
      <w:spacing w:after="100"/>
    </w:pPr>
    <w:rPr>
      <w:rFonts w:ascii="Arial" w:hAnsi="Arial"/>
      <w:sz w:val="24"/>
    </w:rPr>
  </w:style>
  <w:style w:type="paragraph" w:styleId="Sumrio3">
    <w:name w:val="toc 3"/>
    <w:basedOn w:val="Normal"/>
    <w:next w:val="Normal"/>
    <w:autoRedefine/>
    <w:uiPriority w:val="39"/>
    <w:unhideWhenUsed/>
    <w:rsid w:val="00842C1F"/>
    <w:pPr>
      <w:spacing w:after="100"/>
      <w:ind w:left="440"/>
    </w:pPr>
  </w:style>
  <w:style w:type="character" w:styleId="Nmerodepgina">
    <w:name w:val="page number"/>
    <w:basedOn w:val="Fontepargpadro"/>
    <w:uiPriority w:val="99"/>
    <w:semiHidden/>
    <w:unhideWhenUsed/>
    <w:rsid w:val="00A6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6130">
      <w:bodyDiv w:val="1"/>
      <w:marLeft w:val="0"/>
      <w:marRight w:val="0"/>
      <w:marTop w:val="0"/>
      <w:marBottom w:val="0"/>
      <w:divBdr>
        <w:top w:val="none" w:sz="0" w:space="0" w:color="auto"/>
        <w:left w:val="none" w:sz="0" w:space="0" w:color="auto"/>
        <w:bottom w:val="none" w:sz="0" w:space="0" w:color="auto"/>
        <w:right w:val="none" w:sz="0" w:space="0" w:color="auto"/>
      </w:divBdr>
    </w:div>
    <w:div w:id="433592538">
      <w:bodyDiv w:val="1"/>
      <w:marLeft w:val="0"/>
      <w:marRight w:val="0"/>
      <w:marTop w:val="0"/>
      <w:marBottom w:val="0"/>
      <w:divBdr>
        <w:top w:val="none" w:sz="0" w:space="0" w:color="auto"/>
        <w:left w:val="none" w:sz="0" w:space="0" w:color="auto"/>
        <w:bottom w:val="none" w:sz="0" w:space="0" w:color="auto"/>
        <w:right w:val="none" w:sz="0" w:space="0" w:color="auto"/>
      </w:divBdr>
    </w:div>
    <w:div w:id="625549740">
      <w:bodyDiv w:val="1"/>
      <w:marLeft w:val="0"/>
      <w:marRight w:val="0"/>
      <w:marTop w:val="0"/>
      <w:marBottom w:val="0"/>
      <w:divBdr>
        <w:top w:val="none" w:sz="0" w:space="0" w:color="auto"/>
        <w:left w:val="none" w:sz="0" w:space="0" w:color="auto"/>
        <w:bottom w:val="none" w:sz="0" w:space="0" w:color="auto"/>
        <w:right w:val="none" w:sz="0" w:space="0" w:color="auto"/>
      </w:divBdr>
    </w:div>
    <w:div w:id="751201911">
      <w:bodyDiv w:val="1"/>
      <w:marLeft w:val="0"/>
      <w:marRight w:val="0"/>
      <w:marTop w:val="0"/>
      <w:marBottom w:val="0"/>
      <w:divBdr>
        <w:top w:val="none" w:sz="0" w:space="0" w:color="auto"/>
        <w:left w:val="none" w:sz="0" w:space="0" w:color="auto"/>
        <w:bottom w:val="none" w:sz="0" w:space="0" w:color="auto"/>
        <w:right w:val="none" w:sz="0" w:space="0" w:color="auto"/>
      </w:divBdr>
    </w:div>
    <w:div w:id="761679389">
      <w:bodyDiv w:val="1"/>
      <w:marLeft w:val="0"/>
      <w:marRight w:val="0"/>
      <w:marTop w:val="0"/>
      <w:marBottom w:val="0"/>
      <w:divBdr>
        <w:top w:val="none" w:sz="0" w:space="0" w:color="auto"/>
        <w:left w:val="none" w:sz="0" w:space="0" w:color="auto"/>
        <w:bottom w:val="none" w:sz="0" w:space="0" w:color="auto"/>
        <w:right w:val="none" w:sz="0" w:space="0" w:color="auto"/>
      </w:divBdr>
    </w:div>
    <w:div w:id="870652668">
      <w:bodyDiv w:val="1"/>
      <w:marLeft w:val="0"/>
      <w:marRight w:val="0"/>
      <w:marTop w:val="0"/>
      <w:marBottom w:val="0"/>
      <w:divBdr>
        <w:top w:val="none" w:sz="0" w:space="0" w:color="auto"/>
        <w:left w:val="none" w:sz="0" w:space="0" w:color="auto"/>
        <w:bottom w:val="none" w:sz="0" w:space="0" w:color="auto"/>
        <w:right w:val="none" w:sz="0" w:space="0" w:color="auto"/>
      </w:divBdr>
    </w:div>
    <w:div w:id="931208641">
      <w:bodyDiv w:val="1"/>
      <w:marLeft w:val="0"/>
      <w:marRight w:val="0"/>
      <w:marTop w:val="0"/>
      <w:marBottom w:val="0"/>
      <w:divBdr>
        <w:top w:val="none" w:sz="0" w:space="0" w:color="auto"/>
        <w:left w:val="none" w:sz="0" w:space="0" w:color="auto"/>
        <w:bottom w:val="none" w:sz="0" w:space="0" w:color="auto"/>
        <w:right w:val="none" w:sz="0" w:space="0" w:color="auto"/>
      </w:divBdr>
    </w:div>
    <w:div w:id="1061295112">
      <w:bodyDiv w:val="1"/>
      <w:marLeft w:val="0"/>
      <w:marRight w:val="0"/>
      <w:marTop w:val="0"/>
      <w:marBottom w:val="0"/>
      <w:divBdr>
        <w:top w:val="none" w:sz="0" w:space="0" w:color="auto"/>
        <w:left w:val="none" w:sz="0" w:space="0" w:color="auto"/>
        <w:bottom w:val="none" w:sz="0" w:space="0" w:color="auto"/>
        <w:right w:val="none" w:sz="0" w:space="0" w:color="auto"/>
      </w:divBdr>
    </w:div>
    <w:div w:id="1230075740">
      <w:bodyDiv w:val="1"/>
      <w:marLeft w:val="0"/>
      <w:marRight w:val="0"/>
      <w:marTop w:val="0"/>
      <w:marBottom w:val="0"/>
      <w:divBdr>
        <w:top w:val="none" w:sz="0" w:space="0" w:color="auto"/>
        <w:left w:val="none" w:sz="0" w:space="0" w:color="auto"/>
        <w:bottom w:val="none" w:sz="0" w:space="0" w:color="auto"/>
        <w:right w:val="none" w:sz="0" w:space="0" w:color="auto"/>
      </w:divBdr>
    </w:div>
    <w:div w:id="1458984821">
      <w:bodyDiv w:val="1"/>
      <w:marLeft w:val="0"/>
      <w:marRight w:val="0"/>
      <w:marTop w:val="0"/>
      <w:marBottom w:val="0"/>
      <w:divBdr>
        <w:top w:val="none" w:sz="0" w:space="0" w:color="auto"/>
        <w:left w:val="none" w:sz="0" w:space="0" w:color="auto"/>
        <w:bottom w:val="none" w:sz="0" w:space="0" w:color="auto"/>
        <w:right w:val="none" w:sz="0" w:space="0" w:color="auto"/>
      </w:divBdr>
    </w:div>
    <w:div w:id="1577397867">
      <w:bodyDiv w:val="1"/>
      <w:marLeft w:val="0"/>
      <w:marRight w:val="0"/>
      <w:marTop w:val="0"/>
      <w:marBottom w:val="0"/>
      <w:divBdr>
        <w:top w:val="none" w:sz="0" w:space="0" w:color="auto"/>
        <w:left w:val="none" w:sz="0" w:space="0" w:color="auto"/>
        <w:bottom w:val="none" w:sz="0" w:space="0" w:color="auto"/>
        <w:right w:val="none" w:sz="0" w:space="0" w:color="auto"/>
      </w:divBdr>
    </w:div>
    <w:div w:id="1661155818">
      <w:bodyDiv w:val="1"/>
      <w:marLeft w:val="0"/>
      <w:marRight w:val="0"/>
      <w:marTop w:val="0"/>
      <w:marBottom w:val="0"/>
      <w:divBdr>
        <w:top w:val="none" w:sz="0" w:space="0" w:color="auto"/>
        <w:left w:val="none" w:sz="0" w:space="0" w:color="auto"/>
        <w:bottom w:val="none" w:sz="0" w:space="0" w:color="auto"/>
        <w:right w:val="none" w:sz="0" w:space="0" w:color="auto"/>
      </w:divBdr>
    </w:div>
    <w:div w:id="20356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legislacao.planalto.gov.br/legisla/legislacao.nsf/Viw_Identificacao/lei%2012.527-2011?OpenDocu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legislacao.planalto.gov.br/legisla/legislacao.nsf/Viw_Identificacao/DEC%207.724-2012?OpenDocumen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legislacao.planalto.gov.br/legisla/legislacao.nsf/Viw_Identificacao/lei%2012.527-2011?OpenDocu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113C-5D85-574A-B50D-F3C96171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8026</Words>
  <Characters>47195</Characters>
  <Application>Microsoft Office Word</Application>
  <DocSecurity>0</DocSecurity>
  <Lines>907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Zambello</dc:creator>
  <cp:keywords/>
  <dc:description/>
  <cp:lastModifiedBy>Matheus Neto</cp:lastModifiedBy>
  <cp:revision>4</cp:revision>
  <dcterms:created xsi:type="dcterms:W3CDTF">2022-11-09T22:14:00Z</dcterms:created>
  <dcterms:modified xsi:type="dcterms:W3CDTF">2022-11-09T22:41:00Z</dcterms:modified>
</cp:coreProperties>
</file>